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4E" w:rsidRPr="00F86C4E" w:rsidRDefault="00F86C4E" w:rsidP="00F86C4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454" w:right="922" w:firstLine="557"/>
        <w:rPr>
          <w:rFonts w:eastAsia="Times New Roman"/>
          <w:sz w:val="20"/>
          <w:szCs w:val="20"/>
          <w:lang w:eastAsia="ru-RU"/>
        </w:rPr>
      </w:pPr>
      <w:r w:rsidRPr="00F86C4E">
        <w:rPr>
          <w:rFonts w:eastAsia="Times New Roman"/>
          <w:b/>
          <w:bCs/>
          <w:color w:val="000000"/>
          <w:spacing w:val="2"/>
          <w:szCs w:val="24"/>
          <w:lang w:eastAsia="ru-RU"/>
        </w:rPr>
        <w:t xml:space="preserve">КРАСНОБОРСКОЕ ГОРОДСКОЕ ПОСЕЛЕНИЕ </w:t>
      </w:r>
      <w:r w:rsidRPr="00F86C4E">
        <w:rPr>
          <w:rFonts w:eastAsia="Times New Roman"/>
          <w:b/>
          <w:bCs/>
          <w:color w:val="000000"/>
          <w:spacing w:val="-5"/>
          <w:szCs w:val="24"/>
          <w:lang w:eastAsia="ru-RU"/>
        </w:rPr>
        <w:t>ТОСНЕНСКОГО РАЙОНА ЛЕНИНГРАДСКОЙ ОБЛАСТИ</w:t>
      </w:r>
    </w:p>
    <w:p w:rsidR="003E729D" w:rsidRDefault="003E729D" w:rsidP="00F86C4E">
      <w:pPr>
        <w:widowControl w:val="0"/>
        <w:shd w:val="clear" w:color="auto" w:fill="FFFFFF"/>
        <w:autoSpaceDE w:val="0"/>
        <w:autoSpaceDN w:val="0"/>
        <w:adjustRightInd w:val="0"/>
        <w:spacing w:after="0" w:line="682" w:lineRule="exact"/>
        <w:ind w:left="3298" w:right="2765"/>
        <w:rPr>
          <w:rFonts w:eastAsia="Times New Roman"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/>
          <w:color w:val="000000"/>
          <w:spacing w:val="-6"/>
          <w:sz w:val="28"/>
          <w:szCs w:val="28"/>
          <w:lang w:eastAsia="ru-RU"/>
        </w:rPr>
        <w:t>АДМИНИСТРАЦИЯ</w:t>
      </w:r>
    </w:p>
    <w:p w:rsidR="00F86C4E" w:rsidRPr="00F86C4E" w:rsidRDefault="003E729D" w:rsidP="00F86C4E">
      <w:pPr>
        <w:widowControl w:val="0"/>
        <w:shd w:val="clear" w:color="auto" w:fill="FFFFFF"/>
        <w:autoSpaceDE w:val="0"/>
        <w:autoSpaceDN w:val="0"/>
        <w:adjustRightInd w:val="0"/>
        <w:spacing w:after="0" w:line="682" w:lineRule="exact"/>
        <w:ind w:left="3298" w:right="276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pacing w:val="14"/>
          <w:sz w:val="28"/>
          <w:szCs w:val="28"/>
          <w:lang w:eastAsia="ru-RU"/>
        </w:rPr>
        <w:t>ПОСТАНОВЛЕНИЕ</w:t>
      </w:r>
    </w:p>
    <w:p w:rsidR="004639D6" w:rsidRDefault="004639D6" w:rsidP="004639D6">
      <w:pPr>
        <w:spacing w:after="0"/>
        <w:jc w:val="both"/>
      </w:pPr>
    </w:p>
    <w:p w:rsidR="004639D6" w:rsidRDefault="005E5CBB" w:rsidP="004639D6">
      <w:pPr>
        <w:spacing w:after="0"/>
        <w:jc w:val="both"/>
      </w:pPr>
      <w:r>
        <w:t>24.10</w:t>
      </w:r>
      <w:r w:rsidR="00066853">
        <w:t>.2019</w:t>
      </w:r>
      <w:r w:rsidR="00F86C4E">
        <w:t xml:space="preserve"> № </w:t>
      </w:r>
      <w:r w:rsidRPr="00A73D87">
        <w:t>405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066853" w:rsidTr="005E5CBB">
        <w:tc>
          <w:tcPr>
            <w:tcW w:w="5954" w:type="dxa"/>
          </w:tcPr>
          <w:p w:rsidR="00066853" w:rsidRDefault="005E5CBB" w:rsidP="003E729D">
            <w:pPr>
              <w:jc w:val="both"/>
            </w:pPr>
            <w:r>
              <w:t>Об утвер</w:t>
            </w:r>
            <w:r w:rsidR="00E45184">
              <w:t>ждении Положения о порядке пред</w:t>
            </w:r>
            <w:r>
              <w:t>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области, муниципальный служащий администрации Красноборского городского поселения Тосненского района Ленинградской области размещали общедоступную информацию, а также данные, позволяющие их идентифицировать</w:t>
            </w:r>
          </w:p>
        </w:tc>
      </w:tr>
    </w:tbl>
    <w:p w:rsidR="0061260F" w:rsidRDefault="0061260F" w:rsidP="004639D6">
      <w:pPr>
        <w:spacing w:after="0"/>
        <w:jc w:val="both"/>
      </w:pPr>
    </w:p>
    <w:p w:rsidR="0061260F" w:rsidRDefault="00D75967" w:rsidP="003E729D">
      <w:pPr>
        <w:spacing w:after="0" w:line="240" w:lineRule="auto"/>
        <w:ind w:firstLine="709"/>
        <w:jc w:val="both"/>
      </w:pPr>
      <w:r>
        <w:t xml:space="preserve">В соответствии </w:t>
      </w:r>
      <w:r w:rsidR="005E5CBB">
        <w:t>со статьей 15 Федерального закона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</w:p>
    <w:p w:rsidR="0061260F" w:rsidRPr="008D4293" w:rsidRDefault="003E729D" w:rsidP="003E729D">
      <w:pPr>
        <w:spacing w:before="120" w:after="120" w:line="240" w:lineRule="auto"/>
        <w:jc w:val="both"/>
        <w:rPr>
          <w:b/>
        </w:rPr>
      </w:pPr>
      <w:r>
        <w:rPr>
          <w:b/>
        </w:rPr>
        <w:t>ПОСТАНОВЛЯЕТ</w:t>
      </w:r>
      <w:r w:rsidR="0061260F" w:rsidRPr="008D4293">
        <w:rPr>
          <w:b/>
        </w:rPr>
        <w:t>:</w:t>
      </w:r>
    </w:p>
    <w:p w:rsidR="008D4293" w:rsidRDefault="005E5CBB" w:rsidP="005E5CB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Положение о порядке </w:t>
      </w:r>
      <w:r w:rsidR="00E45184">
        <w:t>пред</w:t>
      </w:r>
      <w:r w:rsidRPr="005E5CBB">
        <w:t>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области, муниципальный служащий администрации Красноборского городского поселения Тосненского района Ленинградской области размещали общедоступную информацию, а также данные, позволяющие их идентифицировать</w:t>
      </w:r>
      <w:r w:rsidR="00E32BA7">
        <w:t xml:space="preserve"> согласно Приложению к настоящему постановлению.</w:t>
      </w:r>
    </w:p>
    <w:p w:rsidR="008D4293" w:rsidRDefault="005E5CBB" w:rsidP="00E32B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Ведущему специалисту по вопросам делопроизводства, нотариату и кадрам </w:t>
      </w:r>
      <w:r w:rsidRPr="005E5CBB">
        <w:t>администрации Красноборского городского поселения Тосненского района Ленинградской области</w:t>
      </w:r>
      <w:r w:rsidR="00EC77EB">
        <w:t xml:space="preserve"> Егоровой Ю.А. проинформировать муниципальных служащих администрации </w:t>
      </w:r>
      <w:r w:rsidR="00EC77EB" w:rsidRPr="005E5CBB">
        <w:t>Красноборского городского поселения Тосненского района Ленинградской области</w:t>
      </w:r>
      <w:r w:rsidR="00EC77EB">
        <w:t xml:space="preserve"> об использовании при подготовке сведений, предусмотренных настоящим постановлением, Методических рекомендаций </w:t>
      </w:r>
      <w:r w:rsidR="00E32BA7">
        <w:t>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 w:rsidR="00E32BA7">
        <w:t xml:space="preserve"> (письмо Министерства труда и социальной защиты Российской Федерации от 14.02.2017 года № 18-3/10/П-866).</w:t>
      </w:r>
    </w:p>
    <w:p w:rsidR="00E32BA7" w:rsidRDefault="00E32BA7" w:rsidP="00E32BA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Настоящее постановление вступает в силу </w:t>
      </w:r>
      <w:r>
        <w:rPr>
          <w:szCs w:val="24"/>
        </w:rPr>
        <w:t>с момента подписания</w:t>
      </w:r>
      <w:r>
        <w:rPr>
          <w:szCs w:val="24"/>
        </w:rPr>
        <w:t>.</w:t>
      </w:r>
    </w:p>
    <w:p w:rsidR="004639D6" w:rsidRDefault="008D4293" w:rsidP="003E72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Контроль за исполнением постановления оставляю за собой.</w:t>
      </w:r>
    </w:p>
    <w:p w:rsidR="008D4293" w:rsidRDefault="008D4293" w:rsidP="008D4293">
      <w:pPr>
        <w:spacing w:after="0"/>
        <w:jc w:val="both"/>
      </w:pPr>
    </w:p>
    <w:p w:rsidR="007B3B31" w:rsidRDefault="00E32BA7" w:rsidP="003E729D">
      <w:pPr>
        <w:tabs>
          <w:tab w:val="left" w:pos="6804"/>
        </w:tabs>
        <w:spacing w:after="0"/>
        <w:jc w:val="both"/>
      </w:pPr>
      <w:proofErr w:type="spellStart"/>
      <w:r>
        <w:t>И.о.главы</w:t>
      </w:r>
      <w:proofErr w:type="spellEnd"/>
      <w:r w:rsidR="00A526D8">
        <w:t xml:space="preserve"> администрации </w:t>
      </w:r>
      <w:r w:rsidR="003E729D">
        <w:tab/>
      </w:r>
      <w:proofErr w:type="spellStart"/>
      <w:r>
        <w:t>В.А.Семенихина</w:t>
      </w:r>
      <w:proofErr w:type="spellEnd"/>
    </w:p>
    <w:p w:rsidR="007B3B31" w:rsidRPr="003E729D" w:rsidRDefault="003E729D" w:rsidP="008D4293">
      <w:pPr>
        <w:spacing w:after="0"/>
        <w:jc w:val="both"/>
        <w:rPr>
          <w:sz w:val="18"/>
          <w:szCs w:val="18"/>
        </w:rPr>
      </w:pPr>
      <w:proofErr w:type="spellStart"/>
      <w:r w:rsidRPr="003E729D">
        <w:rPr>
          <w:sz w:val="18"/>
          <w:szCs w:val="18"/>
        </w:rPr>
        <w:t>Исп.Егорова</w:t>
      </w:r>
      <w:proofErr w:type="spellEnd"/>
    </w:p>
    <w:tbl>
      <w:tblPr>
        <w:tblStyle w:val="a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3E729D" w:rsidTr="00D75967">
        <w:tc>
          <w:tcPr>
            <w:tcW w:w="5494" w:type="dxa"/>
          </w:tcPr>
          <w:p w:rsidR="00D75967" w:rsidRDefault="00D75967" w:rsidP="008D4293">
            <w:pPr>
              <w:jc w:val="both"/>
            </w:pPr>
            <w:r>
              <w:lastRenderedPageBreak/>
              <w:t xml:space="preserve">Приложение к постановлению администрации Красноборского городского поселения Тосненского района Ленинградской области </w:t>
            </w:r>
          </w:p>
          <w:p w:rsidR="003E729D" w:rsidRDefault="00D75967" w:rsidP="00E32BA7">
            <w:pPr>
              <w:jc w:val="both"/>
            </w:pPr>
            <w:r>
              <w:t xml:space="preserve">от </w:t>
            </w:r>
            <w:r w:rsidR="00E32BA7">
              <w:t>24.10</w:t>
            </w:r>
            <w:r>
              <w:t xml:space="preserve">.2019 № </w:t>
            </w:r>
            <w:r w:rsidR="00E32BA7">
              <w:t>405</w:t>
            </w:r>
          </w:p>
        </w:tc>
      </w:tr>
    </w:tbl>
    <w:p w:rsidR="00F315A2" w:rsidRDefault="00F315A2" w:rsidP="008D4293">
      <w:pPr>
        <w:spacing w:after="0"/>
        <w:jc w:val="both"/>
      </w:pPr>
    </w:p>
    <w:p w:rsidR="00E32BA7" w:rsidRDefault="00E32BA7" w:rsidP="008D4293">
      <w:pPr>
        <w:spacing w:after="0"/>
        <w:jc w:val="both"/>
      </w:pPr>
    </w:p>
    <w:p w:rsidR="00E32BA7" w:rsidRDefault="00E32BA7" w:rsidP="008D4293">
      <w:pPr>
        <w:spacing w:after="0"/>
        <w:jc w:val="both"/>
      </w:pPr>
    </w:p>
    <w:p w:rsidR="004639D6" w:rsidRDefault="00E32BA7" w:rsidP="00E32BA7">
      <w:pPr>
        <w:spacing w:after="0" w:line="240" w:lineRule="auto"/>
        <w:jc w:val="center"/>
      </w:pPr>
      <w:r>
        <w:t>ПОЛОЖЕНИЕ</w:t>
      </w:r>
    </w:p>
    <w:p w:rsidR="00E32BA7" w:rsidRDefault="00E45184" w:rsidP="00E32BA7">
      <w:pPr>
        <w:spacing w:after="0" w:line="240" w:lineRule="auto"/>
        <w:jc w:val="center"/>
      </w:pPr>
      <w:r>
        <w:t>о порядке пред</w:t>
      </w:r>
      <w:bookmarkStart w:id="0" w:name="_GoBack"/>
      <w:bookmarkEnd w:id="0"/>
      <w:r w:rsidR="00E32BA7" w:rsidRPr="00E32BA7">
        <w:t>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области, муниципальный служащий администрации Красноборского городского поселения Тосненского района Ленинградской области размещали общедоступную информацию, а также данные, позволяющие их идентифицировать</w:t>
      </w:r>
    </w:p>
    <w:p w:rsidR="00CA52F5" w:rsidRDefault="00CA52F5" w:rsidP="00E32BA7">
      <w:pPr>
        <w:spacing w:after="0" w:line="240" w:lineRule="auto"/>
        <w:jc w:val="center"/>
      </w:pPr>
    </w:p>
    <w:p w:rsidR="00CA52F5" w:rsidRDefault="00CA52F5" w:rsidP="00CA52F5">
      <w:pPr>
        <w:spacing w:after="0" w:line="240" w:lineRule="auto"/>
        <w:ind w:firstLine="709"/>
        <w:jc w:val="both"/>
      </w:pPr>
      <w:r>
        <w:t xml:space="preserve">1.Настоящее Положение определяет порядок представления сведений об адресах сайтов </w:t>
      </w:r>
      <w:r w:rsidRPr="00CA52F5">
        <w:t>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области, муниципальный служащий администрации Красноборского городского поселения Тосненского района Ленинградской области размещали общедоступную информацию, а также данные, позволяющие их идентифицировать</w:t>
      </w:r>
      <w:r>
        <w:t>.</w:t>
      </w:r>
    </w:p>
    <w:p w:rsidR="00CA52F5" w:rsidRDefault="00CA52F5" w:rsidP="00CA52F5">
      <w:pPr>
        <w:spacing w:after="0" w:line="240" w:lineRule="auto"/>
        <w:ind w:firstLine="709"/>
        <w:jc w:val="both"/>
      </w:pPr>
      <w:r>
        <w:t>2.Гражданин, муниципальный служащий представляют сведения об адресах сайтов</w:t>
      </w:r>
      <w:r w:rsidRPr="00CA52F5">
        <w:t xml:space="preserve"> и (или) страниц сайтов в информационно-телекоммуникационной сети «Интернет»</w:t>
      </w:r>
      <w:r>
        <w:t>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главы администрации Красноборского городского поселения Тосненского района Ленинградской области.</w:t>
      </w:r>
    </w:p>
    <w:p w:rsidR="00CA52F5" w:rsidRDefault="00CA52F5" w:rsidP="00CA52F5">
      <w:pPr>
        <w:spacing w:after="0" w:line="240" w:lineRule="auto"/>
        <w:ind w:firstLine="709"/>
        <w:jc w:val="both"/>
      </w:pPr>
      <w:r>
        <w:t>3.Сведения представляют:</w:t>
      </w:r>
    </w:p>
    <w:p w:rsidR="00CA52F5" w:rsidRDefault="00CA52F5" w:rsidP="00CA52F5">
      <w:pPr>
        <w:spacing w:after="0" w:line="240" w:lineRule="auto"/>
        <w:ind w:firstLine="709"/>
        <w:jc w:val="both"/>
      </w:pPr>
      <w: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CA52F5" w:rsidRDefault="00CA52F5" w:rsidP="00CA52F5">
      <w:pPr>
        <w:spacing w:after="0" w:line="240" w:lineRule="auto"/>
        <w:ind w:firstLine="709"/>
        <w:jc w:val="both"/>
      </w:pPr>
      <w:r>
        <w:t>2) муниципальный служащий – ежегодно за календарный год, предшествующий году представления сведений, не позднее 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CA52F5" w:rsidRDefault="00CA52F5" w:rsidP="00CA52F5">
      <w:pPr>
        <w:spacing w:after="0" w:line="240" w:lineRule="auto"/>
        <w:ind w:firstLine="709"/>
        <w:jc w:val="both"/>
      </w:pPr>
      <w:r>
        <w:t>4.Сведения представляются по форме, утвержденной распоряжением Правительства Российской Федерации от 28.12.2016 № 2867-р.</w:t>
      </w:r>
    </w:p>
    <w:p w:rsidR="00CA52F5" w:rsidRDefault="00CA52F5" w:rsidP="00CA52F5">
      <w:pPr>
        <w:spacing w:after="0" w:line="240" w:lineRule="auto"/>
        <w:ind w:firstLine="709"/>
        <w:jc w:val="both"/>
      </w:pPr>
      <w:r>
        <w:t xml:space="preserve">5.Сведения, </w:t>
      </w:r>
      <w:r w:rsidR="00E55669">
        <w:t>представляются</w:t>
      </w:r>
      <w:r>
        <w:t xml:space="preserve"> гражданином, муниципальным служащим </w:t>
      </w:r>
      <w:r w:rsidR="00E55669">
        <w:t>ведущему специалисту по вопросам делопроизводства, нотариату и кадрам администрации</w:t>
      </w:r>
      <w:r>
        <w:t xml:space="preserve"> Красноборского городского поселения Тосненского района Ленинградской области</w:t>
      </w:r>
      <w:r w:rsidR="00E55669">
        <w:t xml:space="preserve"> лично, либо лицом, уполномоченным гражданином, муниципальным служащим в установленном законом порядке.</w:t>
      </w:r>
    </w:p>
    <w:p w:rsidR="000E7F0F" w:rsidRDefault="000E7F0F" w:rsidP="00CA52F5">
      <w:pPr>
        <w:spacing w:after="0" w:line="240" w:lineRule="auto"/>
        <w:ind w:firstLine="709"/>
        <w:jc w:val="both"/>
      </w:pPr>
      <w:r>
        <w:t>6.Представленные сведения регистрируются ведущим специалистом по вопросам делопроизводства, нотариату и кадрам администрации Красноборского городского поселения Тосненского района Ленинградской области в журнале учета сведений (далее – журнал) незамедлительно, в присутствии лица, представившего сведения.</w:t>
      </w:r>
    </w:p>
    <w:p w:rsidR="000E7F0F" w:rsidRDefault="000E7F0F" w:rsidP="00CA52F5">
      <w:pPr>
        <w:spacing w:after="0" w:line="240" w:lineRule="auto"/>
        <w:ind w:firstLine="709"/>
        <w:jc w:val="both"/>
      </w:pPr>
      <w:r>
        <w:t>7.Журнал ведется по форме согласно приложению к настоящему Положению.</w:t>
      </w:r>
    </w:p>
    <w:p w:rsidR="000E7F0F" w:rsidRDefault="000E7F0F" w:rsidP="00CA52F5">
      <w:pPr>
        <w:spacing w:after="0" w:line="240" w:lineRule="auto"/>
        <w:ind w:firstLine="709"/>
        <w:jc w:val="both"/>
      </w:pPr>
      <w:r>
        <w:t>Листы журнала должны быть прошнурованы, пронумерованы. Журнал хранится в делах администрации Красноборского городского поселения Тосненского района Ленинградской области.</w:t>
      </w:r>
    </w:p>
    <w:p w:rsidR="000E7F0F" w:rsidRDefault="000E7F0F" w:rsidP="00CA52F5">
      <w:pPr>
        <w:spacing w:after="0" w:line="240" w:lineRule="auto"/>
        <w:ind w:firstLine="709"/>
        <w:jc w:val="both"/>
      </w:pPr>
      <w:r>
        <w:t xml:space="preserve">8.На сведениях ставится отметка о дате и времени их представления ведущему специалисту </w:t>
      </w:r>
      <w:r w:rsidRPr="000E7F0F">
        <w:t xml:space="preserve">по вопросам делопроизводства, нотариату и кадрам администрации </w:t>
      </w:r>
      <w:r w:rsidRPr="000E7F0F">
        <w:lastRenderedPageBreak/>
        <w:t>Красноборского городского поселения Тосненского района Ленинградской области</w:t>
      </w:r>
      <w:r>
        <w:t>, номер регистрации в журнале, подпись ответственного лица.</w:t>
      </w:r>
    </w:p>
    <w:p w:rsidR="000E7F0F" w:rsidRDefault="000E7F0F" w:rsidP="00CA52F5">
      <w:pPr>
        <w:spacing w:after="0" w:line="240" w:lineRule="auto"/>
        <w:ind w:firstLine="709"/>
        <w:jc w:val="both"/>
      </w:pPr>
      <w:r>
        <w:t>9.Ведущемий специалист</w:t>
      </w:r>
      <w:r w:rsidRPr="000E7F0F">
        <w:t xml:space="preserve"> по вопросам делопроизводства, нотариату и кадрам администрации Красноборского городского поселения Тосненского района Ленинградской области</w:t>
      </w:r>
      <w:r>
        <w:t xml:space="preserve"> осуществляет 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представленных сведений в соответствии с законодательством Российской Федерации.</w:t>
      </w:r>
    </w:p>
    <w:p w:rsidR="000E7F0F" w:rsidRDefault="000E7F0F" w:rsidP="00CA52F5">
      <w:pPr>
        <w:spacing w:after="0" w:line="240" w:lineRule="auto"/>
        <w:ind w:firstLine="709"/>
        <w:jc w:val="both"/>
      </w:pPr>
      <w:r>
        <w:t>10.После проверки достоверности и полноты представленных сведений, таковые приобщаются к личному делу муниципального служащего.</w:t>
      </w:r>
    </w:p>
    <w:p w:rsidR="000E7F0F" w:rsidRDefault="000E7F0F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tbl>
      <w:tblPr>
        <w:tblStyle w:val="a5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EA770B" w:rsidTr="00EA770B">
        <w:tc>
          <w:tcPr>
            <w:tcW w:w="5664" w:type="dxa"/>
          </w:tcPr>
          <w:p w:rsidR="00EA770B" w:rsidRDefault="00EA770B" w:rsidP="00CA52F5">
            <w:pPr>
              <w:jc w:val="both"/>
            </w:pPr>
            <w:r>
              <w:lastRenderedPageBreak/>
              <w:t xml:space="preserve">Приложение к Положению </w:t>
            </w:r>
            <w:r w:rsidRPr="00EA770B">
              <w:t>о порядке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области, муниципальный служащий администрации Красноборского городского поселения Тосненского района Ленинградской области размещали общедоступную информацию, а также данные, позволяющие их идентифицировать</w:t>
            </w:r>
          </w:p>
        </w:tc>
      </w:tr>
    </w:tbl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Default="00EA770B" w:rsidP="00CA52F5">
      <w:pPr>
        <w:spacing w:after="0" w:line="240" w:lineRule="auto"/>
        <w:ind w:firstLine="709"/>
        <w:jc w:val="both"/>
      </w:pPr>
    </w:p>
    <w:p w:rsidR="00EA770B" w:rsidRPr="00EA770B" w:rsidRDefault="00EA770B" w:rsidP="00EA770B">
      <w:pPr>
        <w:spacing w:after="0" w:line="240" w:lineRule="auto"/>
        <w:jc w:val="center"/>
        <w:rPr>
          <w:b/>
          <w:sz w:val="32"/>
          <w:szCs w:val="32"/>
        </w:rPr>
      </w:pPr>
      <w:r w:rsidRPr="00EA770B">
        <w:rPr>
          <w:b/>
          <w:sz w:val="32"/>
          <w:szCs w:val="32"/>
        </w:rPr>
        <w:t>Журнал учета сведений</w:t>
      </w:r>
    </w:p>
    <w:p w:rsidR="00EA770B" w:rsidRDefault="00EA770B" w:rsidP="00EA770B">
      <w:pPr>
        <w:spacing w:after="0" w:line="240" w:lineRule="auto"/>
        <w:ind w:firstLine="709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8"/>
        <w:gridCol w:w="1301"/>
        <w:gridCol w:w="1301"/>
        <w:gridCol w:w="1647"/>
        <w:gridCol w:w="1548"/>
        <w:gridCol w:w="1499"/>
        <w:gridCol w:w="1491"/>
      </w:tblGrid>
      <w:tr w:rsidR="00EA770B" w:rsidRPr="00EA770B" w:rsidTr="00EA770B">
        <w:trPr>
          <w:trHeight w:val="413"/>
        </w:trPr>
        <w:tc>
          <w:tcPr>
            <w:tcW w:w="558" w:type="dxa"/>
            <w:vMerge w:val="restart"/>
            <w:vAlign w:val="center"/>
          </w:tcPr>
          <w:p w:rsidR="00EA770B" w:rsidRPr="00EA770B" w:rsidRDefault="00EA770B" w:rsidP="00EA770B">
            <w:pPr>
              <w:jc w:val="center"/>
              <w:rPr>
                <w:sz w:val="20"/>
                <w:szCs w:val="20"/>
              </w:rPr>
            </w:pPr>
            <w:r w:rsidRPr="00EA770B">
              <w:rPr>
                <w:sz w:val="20"/>
                <w:szCs w:val="20"/>
              </w:rPr>
              <w:t>№ п/п</w:t>
            </w:r>
          </w:p>
        </w:tc>
        <w:tc>
          <w:tcPr>
            <w:tcW w:w="2601" w:type="dxa"/>
            <w:gridSpan w:val="2"/>
            <w:vAlign w:val="center"/>
          </w:tcPr>
          <w:p w:rsidR="00EA770B" w:rsidRPr="00EA770B" w:rsidRDefault="00EA770B" w:rsidP="00EA770B">
            <w:pPr>
              <w:jc w:val="center"/>
              <w:rPr>
                <w:sz w:val="20"/>
                <w:szCs w:val="20"/>
              </w:rPr>
            </w:pPr>
            <w:r w:rsidRPr="00EA770B">
              <w:rPr>
                <w:sz w:val="20"/>
                <w:szCs w:val="20"/>
              </w:rPr>
              <w:t>Информация о поступивших сведениях</w:t>
            </w:r>
          </w:p>
        </w:tc>
        <w:tc>
          <w:tcPr>
            <w:tcW w:w="1647" w:type="dxa"/>
            <w:vMerge w:val="restart"/>
            <w:vAlign w:val="center"/>
          </w:tcPr>
          <w:p w:rsidR="00EA770B" w:rsidRPr="00EA770B" w:rsidRDefault="00EA770B" w:rsidP="00E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гражданина, муниципального служащего</w:t>
            </w:r>
          </w:p>
        </w:tc>
        <w:tc>
          <w:tcPr>
            <w:tcW w:w="1548" w:type="dxa"/>
            <w:vMerge w:val="restart"/>
            <w:vAlign w:val="center"/>
          </w:tcPr>
          <w:p w:rsidR="00EA770B" w:rsidRPr="00EA770B" w:rsidRDefault="00EA770B" w:rsidP="00E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ответственного лица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EA770B" w:rsidRPr="00EA770B" w:rsidRDefault="00A73D87" w:rsidP="00E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A770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метка о выводах по результатам обработки общедоступной информации, размещенной гражданином, муниципальным служащим</w:t>
            </w:r>
            <w:r>
              <w:t xml:space="preserve"> </w:t>
            </w:r>
            <w:r w:rsidRPr="00A73D87">
              <w:rPr>
                <w:sz w:val="20"/>
                <w:szCs w:val="20"/>
              </w:rPr>
              <w:t>в информационно-телекоммуникационной сети «Интернет»</w:t>
            </w:r>
            <w:r>
              <w:rPr>
                <w:sz w:val="20"/>
                <w:szCs w:val="20"/>
              </w:rPr>
              <w:t>, а также проверки достоверности и полноты сведений</w:t>
            </w:r>
          </w:p>
        </w:tc>
      </w:tr>
      <w:tr w:rsidR="00EA770B" w:rsidTr="00EA770B">
        <w:trPr>
          <w:trHeight w:val="412"/>
        </w:trPr>
        <w:tc>
          <w:tcPr>
            <w:tcW w:w="558" w:type="dxa"/>
            <w:vMerge/>
          </w:tcPr>
          <w:p w:rsidR="00EA770B" w:rsidRDefault="00EA770B" w:rsidP="00EA770B">
            <w:pPr>
              <w:jc w:val="center"/>
            </w:pPr>
          </w:p>
        </w:tc>
        <w:tc>
          <w:tcPr>
            <w:tcW w:w="1301" w:type="dxa"/>
            <w:vAlign w:val="center"/>
          </w:tcPr>
          <w:p w:rsidR="00EA770B" w:rsidRPr="00EA770B" w:rsidRDefault="00EA770B" w:rsidP="00EA770B">
            <w:pPr>
              <w:jc w:val="center"/>
              <w:rPr>
                <w:sz w:val="20"/>
                <w:szCs w:val="20"/>
              </w:rPr>
            </w:pPr>
            <w:r w:rsidRPr="00EA770B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1300" w:type="dxa"/>
            <w:vAlign w:val="center"/>
          </w:tcPr>
          <w:p w:rsidR="00EA770B" w:rsidRPr="00EA770B" w:rsidRDefault="00EA770B" w:rsidP="00EA7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регистрации</w:t>
            </w:r>
          </w:p>
        </w:tc>
        <w:tc>
          <w:tcPr>
            <w:tcW w:w="1647" w:type="dxa"/>
            <w:vMerge/>
          </w:tcPr>
          <w:p w:rsidR="00EA770B" w:rsidRDefault="00EA770B" w:rsidP="00EA770B">
            <w:pPr>
              <w:jc w:val="center"/>
            </w:pPr>
          </w:p>
        </w:tc>
        <w:tc>
          <w:tcPr>
            <w:tcW w:w="1548" w:type="dxa"/>
            <w:vMerge/>
          </w:tcPr>
          <w:p w:rsidR="00EA770B" w:rsidRDefault="00EA770B" w:rsidP="00EA770B">
            <w:pPr>
              <w:jc w:val="center"/>
            </w:pPr>
          </w:p>
        </w:tc>
        <w:tc>
          <w:tcPr>
            <w:tcW w:w="2991" w:type="dxa"/>
            <w:gridSpan w:val="2"/>
            <w:vMerge/>
          </w:tcPr>
          <w:p w:rsidR="00EA770B" w:rsidRDefault="00EA770B" w:rsidP="00EA770B">
            <w:pPr>
              <w:jc w:val="center"/>
            </w:pPr>
          </w:p>
        </w:tc>
      </w:tr>
      <w:tr w:rsidR="00EA770B" w:rsidTr="00EA770B">
        <w:tc>
          <w:tcPr>
            <w:tcW w:w="558" w:type="dxa"/>
          </w:tcPr>
          <w:p w:rsidR="00EA770B" w:rsidRDefault="00EA770B" w:rsidP="00EA770B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EA770B" w:rsidRDefault="00EA770B" w:rsidP="00EA770B">
            <w:pPr>
              <w:jc w:val="center"/>
            </w:pPr>
            <w:r>
              <w:t>2</w:t>
            </w:r>
          </w:p>
        </w:tc>
        <w:tc>
          <w:tcPr>
            <w:tcW w:w="1300" w:type="dxa"/>
          </w:tcPr>
          <w:p w:rsidR="00EA770B" w:rsidRDefault="00EA770B" w:rsidP="00EA770B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EA770B" w:rsidRDefault="00EA770B" w:rsidP="00EA770B">
            <w:pPr>
              <w:jc w:val="center"/>
            </w:pPr>
            <w:r>
              <w:t>4</w:t>
            </w:r>
          </w:p>
        </w:tc>
        <w:tc>
          <w:tcPr>
            <w:tcW w:w="1548" w:type="dxa"/>
          </w:tcPr>
          <w:p w:rsidR="00EA770B" w:rsidRDefault="00EA770B" w:rsidP="00EA770B">
            <w:pPr>
              <w:jc w:val="center"/>
            </w:pPr>
            <w:r>
              <w:t>5</w:t>
            </w:r>
          </w:p>
        </w:tc>
        <w:tc>
          <w:tcPr>
            <w:tcW w:w="2991" w:type="dxa"/>
            <w:gridSpan w:val="2"/>
          </w:tcPr>
          <w:p w:rsidR="00EA770B" w:rsidRDefault="00EA770B" w:rsidP="00EA770B">
            <w:pPr>
              <w:jc w:val="center"/>
            </w:pPr>
            <w:r>
              <w:t>6</w:t>
            </w:r>
          </w:p>
        </w:tc>
      </w:tr>
      <w:tr w:rsidR="00EA770B" w:rsidTr="00EA770B">
        <w:tc>
          <w:tcPr>
            <w:tcW w:w="558" w:type="dxa"/>
          </w:tcPr>
          <w:p w:rsidR="00EA770B" w:rsidRDefault="00A73D87" w:rsidP="00EA770B">
            <w:pPr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300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647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548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499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492" w:type="dxa"/>
          </w:tcPr>
          <w:p w:rsidR="00EA770B" w:rsidRDefault="00EA770B" w:rsidP="00EA770B">
            <w:pPr>
              <w:jc w:val="center"/>
            </w:pPr>
          </w:p>
        </w:tc>
      </w:tr>
      <w:tr w:rsidR="00EA770B" w:rsidTr="00EA770B">
        <w:tc>
          <w:tcPr>
            <w:tcW w:w="558" w:type="dxa"/>
          </w:tcPr>
          <w:p w:rsidR="00EA770B" w:rsidRDefault="00A73D87" w:rsidP="00EA770B">
            <w:pPr>
              <w:jc w:val="center"/>
            </w:pPr>
            <w:r>
              <w:t>2</w:t>
            </w:r>
          </w:p>
        </w:tc>
        <w:tc>
          <w:tcPr>
            <w:tcW w:w="1301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300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647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548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499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492" w:type="dxa"/>
          </w:tcPr>
          <w:p w:rsidR="00EA770B" w:rsidRDefault="00EA770B" w:rsidP="00EA770B">
            <w:pPr>
              <w:jc w:val="center"/>
            </w:pPr>
          </w:p>
        </w:tc>
      </w:tr>
      <w:tr w:rsidR="00EA770B" w:rsidTr="00EA770B">
        <w:tc>
          <w:tcPr>
            <w:tcW w:w="558" w:type="dxa"/>
          </w:tcPr>
          <w:p w:rsidR="00EA770B" w:rsidRDefault="00A73D87" w:rsidP="00EA770B">
            <w:pPr>
              <w:jc w:val="center"/>
            </w:pPr>
            <w:r>
              <w:t>3</w:t>
            </w:r>
          </w:p>
        </w:tc>
        <w:tc>
          <w:tcPr>
            <w:tcW w:w="1300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301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647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548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499" w:type="dxa"/>
          </w:tcPr>
          <w:p w:rsidR="00EA770B" w:rsidRDefault="00EA770B" w:rsidP="00EA770B">
            <w:pPr>
              <w:jc w:val="center"/>
            </w:pPr>
          </w:p>
        </w:tc>
        <w:tc>
          <w:tcPr>
            <w:tcW w:w="1492" w:type="dxa"/>
          </w:tcPr>
          <w:p w:rsidR="00EA770B" w:rsidRDefault="00EA770B" w:rsidP="00EA770B">
            <w:pPr>
              <w:jc w:val="center"/>
            </w:pPr>
          </w:p>
        </w:tc>
      </w:tr>
    </w:tbl>
    <w:p w:rsidR="00EA770B" w:rsidRDefault="00EA770B" w:rsidP="00EA770B">
      <w:pPr>
        <w:spacing w:after="0" w:line="240" w:lineRule="auto"/>
        <w:ind w:firstLine="709"/>
        <w:jc w:val="center"/>
      </w:pPr>
    </w:p>
    <w:sectPr w:rsidR="00EA770B" w:rsidSect="00E32B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73D70"/>
    <w:multiLevelType w:val="hybridMultilevel"/>
    <w:tmpl w:val="FA5E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3"/>
    <w:rsid w:val="00066853"/>
    <w:rsid w:val="000E7F0F"/>
    <w:rsid w:val="001005AA"/>
    <w:rsid w:val="001030FB"/>
    <w:rsid w:val="001147CA"/>
    <w:rsid w:val="001608B1"/>
    <w:rsid w:val="001909B8"/>
    <w:rsid w:val="00240B4F"/>
    <w:rsid w:val="003A6394"/>
    <w:rsid w:val="003D3FDA"/>
    <w:rsid w:val="003E729D"/>
    <w:rsid w:val="004639D6"/>
    <w:rsid w:val="00496CF1"/>
    <w:rsid w:val="00541FD4"/>
    <w:rsid w:val="0055723B"/>
    <w:rsid w:val="005E5CBB"/>
    <w:rsid w:val="0061260F"/>
    <w:rsid w:val="00761A03"/>
    <w:rsid w:val="007B3B31"/>
    <w:rsid w:val="00804966"/>
    <w:rsid w:val="0085140D"/>
    <w:rsid w:val="008D4293"/>
    <w:rsid w:val="00A526D8"/>
    <w:rsid w:val="00A73D87"/>
    <w:rsid w:val="00C252B6"/>
    <w:rsid w:val="00C9178A"/>
    <w:rsid w:val="00CA52F5"/>
    <w:rsid w:val="00D75967"/>
    <w:rsid w:val="00D805B9"/>
    <w:rsid w:val="00E06303"/>
    <w:rsid w:val="00E32BA7"/>
    <w:rsid w:val="00E45184"/>
    <w:rsid w:val="00E55669"/>
    <w:rsid w:val="00EA770B"/>
    <w:rsid w:val="00EB1938"/>
    <w:rsid w:val="00EC77EB"/>
    <w:rsid w:val="00EC7E3E"/>
    <w:rsid w:val="00EE7D7D"/>
    <w:rsid w:val="00F10B5C"/>
    <w:rsid w:val="00F315A2"/>
    <w:rsid w:val="00F32E4B"/>
    <w:rsid w:val="00F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909F-A063-4E5D-9775-8A2B8531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60F"/>
    <w:pPr>
      <w:ind w:left="720"/>
      <w:contextualSpacing/>
    </w:pPr>
  </w:style>
  <w:style w:type="paragraph" w:styleId="a4">
    <w:name w:val="No Spacing"/>
    <w:uiPriority w:val="1"/>
    <w:qFormat/>
    <w:rsid w:val="00E06303"/>
    <w:pPr>
      <w:spacing w:after="0" w:line="240" w:lineRule="auto"/>
    </w:pPr>
  </w:style>
  <w:style w:type="table" w:styleId="a5">
    <w:name w:val="Table Grid"/>
    <w:basedOn w:val="a1"/>
    <w:uiPriority w:val="59"/>
    <w:rsid w:val="0006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ТЕКиКХ</dc:creator>
  <cp:lastModifiedBy>Юлия</cp:lastModifiedBy>
  <cp:revision>4</cp:revision>
  <cp:lastPrinted>2019-10-24T12:07:00Z</cp:lastPrinted>
  <dcterms:created xsi:type="dcterms:W3CDTF">2019-10-24T12:02:00Z</dcterms:created>
  <dcterms:modified xsi:type="dcterms:W3CDTF">2019-10-24T12:07:00Z</dcterms:modified>
</cp:coreProperties>
</file>