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C32B7" w:rsidRDefault="003E5A7E" w:rsidP="003E5A7E">
      <w:pPr>
        <w:ind w:right="3401"/>
        <w:rPr>
          <w:sz w:val="24"/>
          <w:szCs w:val="24"/>
        </w:rPr>
      </w:pPr>
      <w:r w:rsidRPr="00CF6A66">
        <w:rPr>
          <w:sz w:val="24"/>
          <w:szCs w:val="24"/>
        </w:rPr>
        <w:t xml:space="preserve">№  </w:t>
      </w:r>
    </w:p>
    <w:p w:rsidR="003C32B7" w:rsidRPr="00CF6A66" w:rsidRDefault="003C32B7" w:rsidP="003E5A7E">
      <w:pPr>
        <w:ind w:right="340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ind w:right="2552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Об утверждении муниципальной программы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 w:rsidR="00E203B7" w:rsidRPr="005B454C">
        <w:rPr>
          <w:sz w:val="24"/>
          <w:szCs w:val="24"/>
        </w:rPr>
        <w:t xml:space="preserve"> </w:t>
      </w:r>
      <w:proofErr w:type="gramStart"/>
      <w:r w:rsidR="00E203B7" w:rsidRPr="005B454C">
        <w:rPr>
          <w:sz w:val="24"/>
          <w:szCs w:val="24"/>
        </w:rPr>
        <w:t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>, постановлением администрации Красноборского городского поселения Тосненский район Ленинградской области от 01.11.2013 №167 «Об утверждении порядка разработки, утверждения и контроля за реализацией муниципальных программ на территории Красноборского</w:t>
      </w:r>
      <w:proofErr w:type="gramEnd"/>
      <w:r w:rsidR="00CF6A66" w:rsidRPr="00CF6A66">
        <w:rPr>
          <w:rFonts w:eastAsia="Cambria"/>
          <w:sz w:val="24"/>
          <w:szCs w:val="24"/>
        </w:rPr>
        <w:t xml:space="preserve"> городского поселения Тосненский район Ленинградской области»</w:t>
      </w:r>
    </w:p>
    <w:p w:rsidR="00CF6A66" w:rsidRDefault="00CF6A66" w:rsidP="003E5A7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Pr="00CF6A66">
        <w:rPr>
          <w:sz w:val="24"/>
          <w:szCs w:val="24"/>
        </w:rPr>
        <w:t xml:space="preserve">Утвердить муниципальную программу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 (приложение).</w:t>
      </w:r>
    </w:p>
    <w:p w:rsidR="005836DA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2. Постановление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776922">
        <w:rPr>
          <w:sz w:val="24"/>
          <w:szCs w:val="24"/>
        </w:rPr>
        <w:t>.</w:t>
      </w:r>
    </w:p>
    <w:p w:rsidR="003E5A7E" w:rsidRPr="00CF6A66" w:rsidRDefault="005836DA" w:rsidP="005836D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</w:t>
      </w:r>
      <w:r w:rsidR="005B454C">
        <w:rPr>
          <w:sz w:val="24"/>
          <w:szCs w:val="24"/>
        </w:rPr>
        <w:t>у</w:t>
      </w:r>
      <w:r>
        <w:rPr>
          <w:sz w:val="24"/>
          <w:szCs w:val="24"/>
        </w:rPr>
        <w:t>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9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ru</w:t>
        </w:r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5B454C">
        <w:rPr>
          <w:sz w:val="24"/>
          <w:szCs w:val="24"/>
        </w:rPr>
        <w:t>Контроль за</w:t>
      </w:r>
      <w:proofErr w:type="gramEnd"/>
      <w:r w:rsidRPr="005B454C">
        <w:rPr>
          <w:sz w:val="24"/>
          <w:szCs w:val="24"/>
        </w:rPr>
        <w:t xml:space="preserve"> исполнением </w:t>
      </w:r>
      <w:r w:rsidR="005B454C">
        <w:rPr>
          <w:sz w:val="24"/>
          <w:szCs w:val="24"/>
        </w:rPr>
        <w:t>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</w:p>
    <w:p w:rsidR="005836DA" w:rsidRDefault="005836DA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5836DA" w:rsidRDefault="007705D2" w:rsidP="00E32C69">
      <w:pPr>
        <w:ind w:left="4536"/>
      </w:pPr>
      <w:r>
        <w:t xml:space="preserve">от </w:t>
      </w:r>
      <w:r w:rsidR="003C32B7">
        <w:t>_________</w:t>
      </w:r>
      <w:r w:rsidR="005B454C">
        <w:t xml:space="preserve"> № </w:t>
      </w:r>
      <w:r w:rsidR="003C32B7">
        <w:t>___</w:t>
      </w:r>
      <w:bookmarkStart w:id="0" w:name="_GoBack"/>
      <w:bookmarkEnd w:id="0"/>
    </w:p>
    <w:p w:rsidR="00324FE6" w:rsidRDefault="00324FE6" w:rsidP="0099638A">
      <w:pPr>
        <w:jc w:val="both"/>
        <w:rPr>
          <w:sz w:val="24"/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ED7ECF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24FE6" w:rsidRPr="00CF6A66">
        <w:rPr>
          <w:sz w:val="24"/>
          <w:szCs w:val="24"/>
        </w:rPr>
        <w:t xml:space="preserve"> г.</w:t>
      </w:r>
    </w:p>
    <w:p w:rsidR="00C01E27" w:rsidRPr="00CF6A66" w:rsidRDefault="00C01E27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ED7ECF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</w:t>
            </w:r>
            <w:proofErr w:type="gramStart"/>
            <w:r w:rsidRPr="00CF6A66">
              <w:rPr>
                <w:sz w:val="24"/>
                <w:szCs w:val="24"/>
              </w:rPr>
              <w:t>в</w:t>
            </w:r>
            <w:proofErr w:type="gramEnd"/>
            <w:r w:rsidRPr="00CF6A66">
              <w:rPr>
                <w:sz w:val="24"/>
                <w:szCs w:val="24"/>
              </w:rPr>
              <w:t xml:space="preserve"> </w:t>
            </w:r>
            <w:proofErr w:type="gramStart"/>
            <w:r w:rsidR="00ED7ECF" w:rsidRPr="00CF6A66">
              <w:rPr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C66C00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</w:t>
            </w:r>
            <w:r w:rsidR="004A258A">
              <w:t xml:space="preserve"> </w:t>
            </w:r>
            <w:r w:rsidR="004A258A" w:rsidRPr="004A258A">
              <w:rPr>
                <w:sz w:val="24"/>
                <w:szCs w:val="24"/>
              </w:rPr>
              <w:t>а также физически</w:t>
            </w:r>
            <w:r w:rsidR="004A258A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лиц</w:t>
            </w:r>
            <w:r w:rsidR="00C66C00">
              <w:rPr>
                <w:sz w:val="24"/>
                <w:szCs w:val="24"/>
              </w:rPr>
              <w:t>, не являющих</w:t>
            </w:r>
            <w:r w:rsidR="004A258A" w:rsidRPr="004A258A">
              <w:rPr>
                <w:sz w:val="24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 w:rsidR="00C66C00">
              <w:rPr>
                <w:sz w:val="24"/>
                <w:szCs w:val="24"/>
              </w:rPr>
              <w:t>,</w:t>
            </w:r>
            <w:r w:rsidR="004A258A" w:rsidRPr="004A258A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C66C00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 w:rsidR="00C66C00">
              <w:rPr>
                <w:b w:val="0"/>
                <w:szCs w:val="24"/>
              </w:rPr>
              <w:t>мма реализуется в один этап (2021</w:t>
            </w:r>
            <w:r w:rsidR="00105CE1" w:rsidRPr="00CF6A66">
              <w:rPr>
                <w:b w:val="0"/>
                <w:szCs w:val="24"/>
              </w:rPr>
              <w:t>-202</w:t>
            </w:r>
            <w:r w:rsidR="00C66C00">
              <w:rPr>
                <w:b w:val="0"/>
                <w:szCs w:val="24"/>
              </w:rPr>
              <w:t>3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C66C00" w:rsidP="00C66C00">
            <w:pPr>
              <w:pStyle w:val="ConsPlusCell"/>
              <w:jc w:val="center"/>
            </w:pPr>
            <w:r>
              <w:t>2021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C66C00" w:rsidP="00C66C00">
            <w:pPr>
              <w:pStyle w:val="ConsPlusCell"/>
              <w:jc w:val="center"/>
            </w:pPr>
            <w:r>
              <w:t>2022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C66C00">
            <w:pPr>
              <w:pStyle w:val="ConsPlusCell"/>
              <w:jc w:val="center"/>
            </w:pPr>
            <w:r w:rsidRPr="00CF6A66">
              <w:t>20</w:t>
            </w:r>
            <w:r w:rsidR="009F0CDD" w:rsidRPr="00CF6A66">
              <w:t>2</w:t>
            </w:r>
            <w:r w:rsidR="00C66C00">
              <w:t>3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 w:rsidR="00C66C00">
              <w:rPr>
                <w:b w:val="0"/>
                <w:szCs w:val="24"/>
              </w:rPr>
              <w:t>,</w:t>
            </w:r>
            <w:r w:rsidR="00C66C00">
              <w:t xml:space="preserve"> </w:t>
            </w:r>
            <w:r w:rsidR="00C66C00" w:rsidRPr="00C66C00">
              <w:rPr>
                <w:b w:val="0"/>
                <w:szCs w:val="24"/>
              </w:rPr>
              <w:t>а также физически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лиц</w:t>
            </w:r>
            <w:r w:rsidR="00C66C00">
              <w:rPr>
                <w:b w:val="0"/>
                <w:szCs w:val="24"/>
              </w:rPr>
              <w:t>, не являющих</w:t>
            </w:r>
            <w:r w:rsidR="00C66C00"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</w:t>
      </w:r>
      <w:proofErr w:type="gramEnd"/>
      <w:r w:rsidRPr="00CF6A66">
        <w:rPr>
          <w:sz w:val="24"/>
          <w:szCs w:val="24"/>
        </w:rPr>
        <w:t xml:space="preserve">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</w:t>
            </w:r>
            <w:proofErr w:type="gramStart"/>
            <w:r w:rsidRPr="00826EAD">
              <w:rPr>
                <w:sz w:val="24"/>
                <w:szCs w:val="24"/>
              </w:rPr>
              <w:t>действующие</w:t>
            </w:r>
            <w:proofErr w:type="gramEnd"/>
            <w:r w:rsidRPr="00826EA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lastRenderedPageBreak/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5021D1" w:rsidRDefault="005021D1" w:rsidP="005021D1">
      <w:pPr>
        <w:pStyle w:val="a7"/>
        <w:tabs>
          <w:tab w:val="left" w:pos="6660"/>
        </w:tabs>
        <w:spacing w:after="0"/>
        <w:ind w:left="0"/>
        <w:rPr>
          <w:b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302059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4C5465">
        <w:rPr>
          <w:b/>
          <w:sz w:val="24"/>
          <w:szCs w:val="24"/>
        </w:rPr>
        <w:t>21</w:t>
      </w:r>
      <w:r w:rsidR="00302059" w:rsidRPr="00CF6A66">
        <w:rPr>
          <w:b/>
          <w:sz w:val="24"/>
          <w:szCs w:val="24"/>
        </w:rPr>
        <w:t>-202</w:t>
      </w:r>
      <w:r w:rsidR="004C5465">
        <w:rPr>
          <w:b/>
          <w:sz w:val="24"/>
          <w:szCs w:val="24"/>
        </w:rPr>
        <w:t>3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 xml:space="preserve">физических лиц, не являющихся индивидуальными предпринимателями и применяющих </w:t>
      </w:r>
      <w:r w:rsidR="00202913" w:rsidRPr="00202913">
        <w:rPr>
          <w:b w:val="0"/>
          <w:szCs w:val="24"/>
        </w:rPr>
        <w:lastRenderedPageBreak/>
        <w:t>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proofErr w:type="gramStart"/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 w:rsidRPr="00CF6A66">
        <w:rPr>
          <w:b w:val="0"/>
          <w:szCs w:val="24"/>
        </w:rPr>
        <w:t xml:space="preserve"> средних  </w:t>
      </w:r>
      <w:proofErr w:type="gramStart"/>
      <w:r w:rsidRPr="00CF6A66">
        <w:rPr>
          <w:b w:val="0"/>
          <w:szCs w:val="24"/>
        </w:rPr>
        <w:t>предприятиях</w:t>
      </w:r>
      <w:proofErr w:type="gramEnd"/>
      <w:r w:rsidRPr="00CF6A66">
        <w:rPr>
          <w:b w:val="0"/>
          <w:szCs w:val="24"/>
        </w:rPr>
        <w:t>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545487">
          <w:headerReference w:type="default" r:id="rId10"/>
          <w:headerReference w:type="first" r:id="rId11"/>
          <w:footerReference w:type="first" r:id="rId12"/>
          <w:pgSz w:w="11906" w:h="16838"/>
          <w:pgMar w:top="1134" w:right="707" w:bottom="156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23" w:type="pct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1417"/>
        <w:gridCol w:w="1278"/>
        <w:gridCol w:w="1134"/>
        <w:gridCol w:w="1134"/>
        <w:gridCol w:w="20"/>
        <w:gridCol w:w="55"/>
        <w:gridCol w:w="909"/>
        <w:gridCol w:w="150"/>
        <w:gridCol w:w="981"/>
        <w:gridCol w:w="156"/>
        <w:gridCol w:w="12"/>
        <w:gridCol w:w="863"/>
        <w:gridCol w:w="401"/>
        <w:gridCol w:w="17"/>
        <w:gridCol w:w="257"/>
        <w:gridCol w:w="300"/>
        <w:gridCol w:w="690"/>
        <w:gridCol w:w="150"/>
        <w:gridCol w:w="20"/>
        <w:gridCol w:w="690"/>
        <w:gridCol w:w="1134"/>
      </w:tblGrid>
      <w:tr w:rsidR="00774C51" w:rsidRPr="00CF6A66" w:rsidTr="00774C51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774C51" w:rsidRPr="00CF6A66" w:rsidTr="00774C51">
        <w:trPr>
          <w:trHeight w:val="421"/>
        </w:trPr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Всего (тыс.</w:t>
            </w:r>
            <w:proofErr w:type="gramEnd"/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Объем финансирования по годам 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Планируемые результаты выполнения мероприятий</w:t>
            </w:r>
          </w:p>
        </w:tc>
      </w:tr>
      <w:tr w:rsidR="00774C51" w:rsidRPr="00CF6A66" w:rsidTr="00774C51">
        <w:trPr>
          <w:trHeight w:val="11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774C51" w:rsidRPr="00CF6A66" w:rsidTr="00774C51">
        <w:trPr>
          <w:trHeight w:val="5808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налогообложения для: 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-л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>иц, желающих открыть свое дело и начинающих предпринимателей.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774C51" w:rsidRPr="00CF6A66" w:rsidTr="00774C51">
        <w:trPr>
          <w:trHeight w:val="61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774C51" w:rsidRPr="00CF6A66" w:rsidTr="00774C51">
        <w:trPr>
          <w:trHeight w:val="419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774C51" w:rsidRPr="00CF6A66" w:rsidTr="00774C51">
        <w:trPr>
          <w:trHeight w:val="195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774C51" w:rsidRPr="00CF6A66" w:rsidTr="00774C51">
        <w:trPr>
          <w:trHeight w:val="1265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0D" w:rsidRDefault="00F1110D">
      <w:r>
        <w:separator/>
      </w:r>
    </w:p>
  </w:endnote>
  <w:endnote w:type="continuationSeparator" w:id="0">
    <w:p w:rsidR="00F1110D" w:rsidRDefault="00F1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0D" w:rsidRDefault="00F1110D">
      <w:r>
        <w:separator/>
      </w:r>
    </w:p>
  </w:footnote>
  <w:footnote w:type="continuationSeparator" w:id="0">
    <w:p w:rsidR="00F1110D" w:rsidRDefault="00F1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7" w:rsidRDefault="003C32B7" w:rsidP="003C32B7">
    <w:pPr>
      <w:pStyle w:val="af3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7" w:rsidRDefault="003C32B7" w:rsidP="003C32B7">
    <w:pPr>
      <w:pStyle w:val="af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5187E"/>
    <w:rsid w:val="00081E6E"/>
    <w:rsid w:val="00094C6A"/>
    <w:rsid w:val="00097D1C"/>
    <w:rsid w:val="000F2277"/>
    <w:rsid w:val="00105CE1"/>
    <w:rsid w:val="00140515"/>
    <w:rsid w:val="001408A3"/>
    <w:rsid w:val="00144CB2"/>
    <w:rsid w:val="00145D48"/>
    <w:rsid w:val="00151E8F"/>
    <w:rsid w:val="00155EE3"/>
    <w:rsid w:val="0018232A"/>
    <w:rsid w:val="001C0CA0"/>
    <w:rsid w:val="001C304D"/>
    <w:rsid w:val="001D2EC9"/>
    <w:rsid w:val="001E3E25"/>
    <w:rsid w:val="00202913"/>
    <w:rsid w:val="002321C6"/>
    <w:rsid w:val="00281CF9"/>
    <w:rsid w:val="00302059"/>
    <w:rsid w:val="00321AC7"/>
    <w:rsid w:val="00324FE6"/>
    <w:rsid w:val="00357856"/>
    <w:rsid w:val="0036317B"/>
    <w:rsid w:val="003C32B7"/>
    <w:rsid w:val="003E55B1"/>
    <w:rsid w:val="003E5A7E"/>
    <w:rsid w:val="004354D2"/>
    <w:rsid w:val="00450CFD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722E2"/>
    <w:rsid w:val="006B2396"/>
    <w:rsid w:val="006D2A3A"/>
    <w:rsid w:val="0072316E"/>
    <w:rsid w:val="00746130"/>
    <w:rsid w:val="00746EFB"/>
    <w:rsid w:val="007574CC"/>
    <w:rsid w:val="00766E32"/>
    <w:rsid w:val="007705D2"/>
    <w:rsid w:val="00774C51"/>
    <w:rsid w:val="00776922"/>
    <w:rsid w:val="0079180E"/>
    <w:rsid w:val="007B57DC"/>
    <w:rsid w:val="00824C3C"/>
    <w:rsid w:val="00825E02"/>
    <w:rsid w:val="00826EAD"/>
    <w:rsid w:val="00830134"/>
    <w:rsid w:val="00861E83"/>
    <w:rsid w:val="00893646"/>
    <w:rsid w:val="00894BA1"/>
    <w:rsid w:val="008E15B0"/>
    <w:rsid w:val="008F6831"/>
    <w:rsid w:val="00902005"/>
    <w:rsid w:val="009156D8"/>
    <w:rsid w:val="00917F82"/>
    <w:rsid w:val="00933F7B"/>
    <w:rsid w:val="00965238"/>
    <w:rsid w:val="0099638A"/>
    <w:rsid w:val="009A0C90"/>
    <w:rsid w:val="009A49BC"/>
    <w:rsid w:val="009C7A22"/>
    <w:rsid w:val="009F0CDD"/>
    <w:rsid w:val="009F18F1"/>
    <w:rsid w:val="00A1212E"/>
    <w:rsid w:val="00A56DA1"/>
    <w:rsid w:val="00AE0DED"/>
    <w:rsid w:val="00AF776C"/>
    <w:rsid w:val="00AF7B39"/>
    <w:rsid w:val="00B01122"/>
    <w:rsid w:val="00B0733B"/>
    <w:rsid w:val="00B40725"/>
    <w:rsid w:val="00B526B7"/>
    <w:rsid w:val="00B601F4"/>
    <w:rsid w:val="00B94AD6"/>
    <w:rsid w:val="00C01E27"/>
    <w:rsid w:val="00C33CAC"/>
    <w:rsid w:val="00C66C00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203B7"/>
    <w:rsid w:val="00E32C69"/>
    <w:rsid w:val="00E64A8D"/>
    <w:rsid w:val="00E8362E"/>
    <w:rsid w:val="00EC33C0"/>
    <w:rsid w:val="00ED7ECF"/>
    <w:rsid w:val="00F07FA7"/>
    <w:rsid w:val="00F1110D"/>
    <w:rsid w:val="00F517C2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7C57-212C-43DD-B6CD-C0648223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2</cp:revision>
  <cp:lastPrinted>2020-11-09T07:05:00Z</cp:lastPrinted>
  <dcterms:created xsi:type="dcterms:W3CDTF">2020-11-12T08:03:00Z</dcterms:created>
  <dcterms:modified xsi:type="dcterms:W3CDTF">2020-11-12T08:03:00Z</dcterms:modified>
</cp:coreProperties>
</file>