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E8" w:rsidRPr="004761E8" w:rsidRDefault="00182CE0" w:rsidP="00182CE0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ЗАКЛЮЧЕНИЕ </w:t>
      </w:r>
      <w:r w:rsidR="007517A6">
        <w:rPr>
          <w:rFonts w:ascii="Helvetica" w:eastAsia="Times New Roman" w:hAnsi="Helvetic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РЕЗУЛЬТАТАХ</w:t>
      </w:r>
    </w:p>
    <w:p w:rsidR="004761E8" w:rsidRPr="004761E8" w:rsidRDefault="004761E8" w:rsidP="00182CE0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  <w:proofErr w:type="gramStart"/>
      <w:r w:rsidRPr="004761E8">
        <w:rPr>
          <w:rFonts w:ascii="Helvetica" w:eastAsia="Times New Roman" w:hAnsi="Helvetic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проведения публичных слушаний по проекту программы комплексного развития транспортной инфраструктуры Красноборского городского поселения Тосненского района Ленинградской области на период 2017-2021 годы и на перспективу до 2030 года, по проекту программы комплексного развития социальной инфраструктуры Красноборского городского поселения Тосненского района Ленинградской области на период 2017-2021 годы и на перспективу до 2030 года</w:t>
      </w:r>
      <w:proofErr w:type="gramEnd"/>
    </w:p>
    <w:p w:rsidR="004761E8" w:rsidRPr="004761E8" w:rsidRDefault="004761E8" w:rsidP="00182CE0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</w:p>
    <w:p w:rsidR="004761E8" w:rsidRPr="004761E8" w:rsidRDefault="004761E8" w:rsidP="00182C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761E8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Место проведения: актовый зал администрации Красноборского городского поселения Тосненского района Ленинградской области</w:t>
      </w:r>
    </w:p>
    <w:p w:rsidR="004761E8" w:rsidRPr="004761E8" w:rsidRDefault="004761E8" w:rsidP="00182C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761E8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Дата проведения: 25 октября  2017г.</w:t>
      </w:r>
    </w:p>
    <w:p w:rsidR="004761E8" w:rsidRPr="004761E8" w:rsidRDefault="004761E8" w:rsidP="00182C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761E8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Время проведения - 15 час. 00 мин.</w:t>
      </w:r>
    </w:p>
    <w:p w:rsidR="00182CE0" w:rsidRDefault="00182CE0" w:rsidP="00182C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4761E8" w:rsidRPr="004761E8" w:rsidRDefault="004761E8" w:rsidP="00182C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61E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Правовые основания для проведения публичных слушаний:</w:t>
      </w:r>
    </w:p>
    <w:p w:rsidR="004761E8" w:rsidRDefault="004761E8" w:rsidP="00182CE0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Публичные слушания проводятся на основании положений следующих нормативных правовых актов: </w:t>
      </w:r>
      <w:proofErr w:type="gramStart"/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Федерального закона от 06.10.2003 г. №131-ФЗ «Об общих принципах организации местного самоуправления в Российской Федерации», Градостроительного кодекса Российской Федерации, Устава Красноборского городского поселения  Тосненского района Ленинградской области, решение совета депутатов Красноборского городского поселения  Тосненского района Ленинградской области от 28.08.2013 № 162 «Об утверждении Положения «О порядке организации и проведения публичных слушаний на территории Красноборского городского поселения Тосненского района Ленинградской области»,  распоряжение</w:t>
      </w:r>
      <w:proofErr w:type="gramEnd"/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главы Красноборского городского поселения Тосненского района Ленинградской области от 21.09.2017 № 133 «О проведении публичных слушаний по проекту программы комплексного развития транспортной инфраструктуры Красноборского городского поселения Тосненского района Ленинградской области на период 2017-2021 годы и на перспективу до 2030 года, по проекту программы комплексного развития социальной инфраструктуры Красноборского городского поселения Тосненского района Ленинградской области на период 2017-2021 годы и на перспективу</w:t>
      </w:r>
      <w:proofErr w:type="gramEnd"/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 2030 </w:t>
      </w:r>
      <w:proofErr w:type="spellStart"/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года»</w:t>
      </w:r>
      <w:proofErr w:type="spellEnd"/>
    </w:p>
    <w:p w:rsidR="004761E8" w:rsidRPr="004761E8" w:rsidRDefault="004761E8" w:rsidP="00182CE0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61E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Исполнение требований законодательства об информировании населения:</w:t>
      </w:r>
    </w:p>
    <w:p w:rsidR="004761E8" w:rsidRDefault="004761E8" w:rsidP="00182C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proofErr w:type="gramStart"/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Распоряжение главы Красноборского городского поселения Тосненского района Ленинградской области от 21.09.2017 № 133 «О проведении публичных слушаний по проекту программы комплексного развития транспортной инфраструктуры Красноборского городского поселения Тосненского района Ленинградской области на период 2017-2021 годы и на перспективу до 2030 года, по проекту программы комплексного развития социальной инфраструктуры Красноборского городского поселения Тосненского района Ленинградской области на период 2017-2021 годы и на</w:t>
      </w:r>
      <w:proofErr w:type="gramEnd"/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перспективу до 2030 года»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опу</w:t>
      </w:r>
      <w:r w:rsidR="007517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бликовано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517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</w:t>
      </w:r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517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сетевом издании</w:t>
      </w:r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7517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«Ленинградское областное информационное агентство» «</w:t>
      </w:r>
      <w:proofErr w:type="spellStart"/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Леноблинформ</w:t>
      </w:r>
      <w:proofErr w:type="spellEnd"/>
      <w:r w:rsidR="007517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</w:t>
      </w:r>
      <w:hyperlink r:id="rId6" w:history="1">
        <w:r w:rsidR="00116543" w:rsidRPr="00B837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http://www.lenoblinform.ru/acts/Krasniy-Bor/</w:t>
        </w:r>
      </w:hyperlink>
      <w:r w:rsidR="00182CE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16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25.09.2017, а также размещено на сайте </w:t>
      </w:r>
      <w:r w:rsidR="00116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Красноборского городского поселения  </w:t>
      </w:r>
      <w:r w:rsidR="00116543" w:rsidRPr="00116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7" w:history="1">
        <w:r w:rsidR="00116543" w:rsidRPr="00B837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http://krbor.ru/sovet-deputatov/doc/9-resheniya-soveta-deputatov</w:t>
        </w:r>
      </w:hyperlink>
      <w:r w:rsidR="00116543" w:rsidRPr="00116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116543" w:rsidRPr="00116543" w:rsidRDefault="00116543" w:rsidP="00116543">
      <w:pPr>
        <w:pStyle w:val="a6"/>
        <w:numPr>
          <w:ilvl w:val="0"/>
          <w:numId w:val="2"/>
        </w:numPr>
        <w:shd w:val="clear" w:color="auto" w:fill="FFFFFF"/>
        <w:spacing w:after="0" w:line="360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рмационное сообщение о проведении публичных слушаний было опубликовано в основном выпуске газеты «Тосненский вестник» от 30.09.2017 №73.</w:t>
      </w:r>
    </w:p>
    <w:p w:rsidR="00116543" w:rsidRDefault="004761E8" w:rsidP="0011654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– проект </w:t>
      </w:r>
      <w:r w:rsid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Программы</w:t>
      </w:r>
      <w:r w:rsidR="002A490B" w:rsidRP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комплексного развития транспортной инфраструктуры Красноборского городского поселения Тосненского района Ленинградской области на период 2017-2021 год</w:t>
      </w:r>
      <w:r w:rsid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 и на перспективу до 2030 года и</w:t>
      </w:r>
      <w:r w:rsidR="002A490B" w:rsidRP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  <w:r w:rsidR="00E525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</w:t>
      </w:r>
      <w:r w:rsidR="002A490B" w:rsidRP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рограммы комплексного развития социальной инфраструктуры Красноборского городского поселения Тосненского района Ленинградской области на период 2017-2021 годы и на перспективу до 2030 года</w:t>
      </w:r>
      <w:r w:rsid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опубликованы </w:t>
      </w:r>
      <w:r w:rsidR="00116543" w:rsidRPr="00116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 сетевом издании «Ленинградское областное информационное агентство» «</w:t>
      </w:r>
      <w:proofErr w:type="spellStart"/>
      <w:r w:rsidR="00116543" w:rsidRPr="00116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Леноблинформ</w:t>
      </w:r>
      <w:proofErr w:type="spellEnd"/>
      <w:r w:rsidR="00116543" w:rsidRPr="00116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http://www.lenoblinform.ru</w:t>
      </w:r>
      <w:proofErr w:type="gramEnd"/>
      <w:r w:rsidR="00116543" w:rsidRPr="00116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/acts/Krasniy-Bor/. 25.09.2017, а также размещено на сайте Красноборского городского посел</w:t>
      </w:r>
      <w:r w:rsidR="001165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ения </w:t>
      </w:r>
      <w:hyperlink r:id="rId8" w:history="1">
        <w:r w:rsidR="00E52574" w:rsidRPr="00B837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http://krbor.ru/gr-d/programma-kompleksnogo-razvitiya-transportnoj-infrastruktury</w:t>
        </w:r>
      </w:hyperlink>
      <w:r w:rsidR="00E525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hyperlink r:id="rId9" w:history="1">
        <w:r w:rsidR="00E52574" w:rsidRPr="00B837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http://krbor.ru/gr-d/programma-kompleksnogo-razvitiya-sotsialnoj-infrastruktury</w:t>
        </w:r>
      </w:hyperlink>
      <w:r w:rsidR="00E525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4761E8" w:rsidRPr="004761E8" w:rsidRDefault="004761E8" w:rsidP="0011654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– экспозиции демонстрационных материалов были организованы в </w:t>
      </w:r>
      <w:r w:rsid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 Красноборского городского поселения.</w:t>
      </w:r>
    </w:p>
    <w:p w:rsidR="004761E8" w:rsidRPr="004761E8" w:rsidRDefault="004761E8" w:rsidP="00182C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61E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Вопрос, вынесенный на обсуждение:</w:t>
      </w:r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  <w:r w:rsidR="002A490B" w:rsidRP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программы комплексного развития транспортной инфраструктуры Красноборского городского поселения Тосненского района Ленинградской области на период 2017-2021 годы и</w:t>
      </w:r>
      <w:r w:rsid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перспективу до 2030 года,  Проект</w:t>
      </w:r>
      <w:r w:rsidR="002A490B" w:rsidRP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программы комплексного развития социальной инфраструктуры Красноборского городского поселения Тосненского района Ленинградской области на период 2017-2021 годы и на перспективу до 2030 года»</w:t>
      </w:r>
    </w:p>
    <w:p w:rsidR="004761E8" w:rsidRDefault="004761E8" w:rsidP="00182C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761E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Материалы, представленные на публичные слушания</w:t>
      </w:r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r w:rsidR="00E525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 П</w:t>
      </w:r>
      <w:r w:rsidR="006905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рограмм</w:t>
      </w:r>
      <w:r w:rsidR="00E525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</w:t>
      </w:r>
      <w:r w:rsidR="006905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E52574" w:rsidRPr="00E525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комплексного развития транспортной инфраструктуры Красноборского городского поселения Тосненского района Ленинградской области на период 2017-2021 годы и на перспективу до 2030 года</w:t>
      </w:r>
      <w:r w:rsidR="00E525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проект </w:t>
      </w:r>
      <w:r w:rsidR="00E52574" w:rsidRPr="00E525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Программы комплексного развития социальной инфраструктуры Красноборского городского поселения Тосненского района Ленинградской области на период 2017-2021 годы и на перспективу до 2030 года </w:t>
      </w:r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предоставлены разработчиком проекта – ООО </w:t>
      </w:r>
      <w:r w:rsidR="006905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«НПГ </w:t>
      </w:r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Энергия </w:t>
      </w:r>
      <w:proofErr w:type="spellStart"/>
      <w:r w:rsidR="002A490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Прайм</w:t>
      </w:r>
      <w:proofErr w:type="spellEnd"/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</w:t>
      </w:r>
      <w:proofErr w:type="gramEnd"/>
    </w:p>
    <w:p w:rsidR="006905FB" w:rsidRPr="004761E8" w:rsidRDefault="006905FB" w:rsidP="00182CE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761E8" w:rsidRPr="004761E8" w:rsidRDefault="004761E8" w:rsidP="00182CE0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61E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Сведения об участниках публичных слушаний</w:t>
      </w:r>
      <w:r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4761E8" w:rsidRPr="004761E8" w:rsidRDefault="006905FB" w:rsidP="00182CE0">
      <w:pPr>
        <w:shd w:val="clear" w:color="auto" w:fill="FFFFFF"/>
        <w:spacing w:after="24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="004761E8"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</w:t>
      </w:r>
      <w:r w:rsidR="004761E8"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глава администрации Красноборского городского поселения Тосненского района Ленинградской области  Платонова О.В., заместитель главы </w:t>
      </w:r>
      <w:r w:rsidRPr="006905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 Красноборского городског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поселения Тосненского района Л</w:t>
      </w:r>
      <w:r w:rsidRPr="006905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енинградской области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Семенихина В.А., ведущий специалист администрации </w:t>
      </w:r>
      <w:r w:rsidRPr="006905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Красноборского городског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поселения Тосненского района Л</w:t>
      </w:r>
      <w:r w:rsidRPr="006905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енинградской области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Егорова Ю.А., депутат Красноборского городского поселения – Еремина О.Н., жители муниципального образования</w:t>
      </w:r>
      <w:r w:rsidR="004761E8" w:rsidRPr="004761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proofErr w:type="gramEnd"/>
    </w:p>
    <w:p w:rsidR="004761E8" w:rsidRPr="004761E8" w:rsidRDefault="004761E8" w:rsidP="004761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61E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Предложения, поступившие в ходе публичных слушаний.</w:t>
      </w:r>
    </w:p>
    <w:p w:rsidR="004761E8" w:rsidRPr="004761E8" w:rsidRDefault="004761E8" w:rsidP="004761E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61E8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В установленные сроки</w:t>
      </w:r>
      <w:r w:rsidR="003705D6" w:rsidRPr="00182C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, а также во время проведения </w:t>
      </w:r>
      <w:r w:rsid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обсуждений</w:t>
      </w:r>
      <w:r w:rsidR="003705D6" w:rsidRPr="00182C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4761E8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в </w:t>
      </w:r>
      <w:r w:rsidR="006905FB" w:rsidRPr="00182C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администрацию поступили </w:t>
      </w:r>
      <w:r w:rsidRPr="004761E8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следующие предложения и замечания к про</w:t>
      </w:r>
      <w:r w:rsidR="006905FB" w:rsidRPr="00182C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ектам </w:t>
      </w:r>
      <w:r w:rsidRPr="004761E8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182C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П</w:t>
      </w:r>
      <w:r w:rsidR="006905FB" w:rsidRPr="00182CE0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рограмм.</w:t>
      </w:r>
    </w:p>
    <w:tbl>
      <w:tblPr>
        <w:tblW w:w="971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174"/>
        <w:gridCol w:w="2916"/>
        <w:gridCol w:w="3760"/>
      </w:tblGrid>
      <w:tr w:rsidR="009E45DB" w:rsidRPr="004761E8" w:rsidTr="003705D6"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E8" w:rsidRPr="004761E8" w:rsidRDefault="004761E8" w:rsidP="003705D6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761E8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№/№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E8" w:rsidRPr="004761E8" w:rsidRDefault="004761E8" w:rsidP="003705D6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761E8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Лицо, вносящее предложение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E8" w:rsidRPr="004761E8" w:rsidRDefault="00427664" w:rsidP="003705D6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</w:t>
            </w:r>
            <w:r w:rsidR="004761E8" w:rsidRPr="004761E8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редложения/замечания к проекту внесения изменений в ПЗЗ от заинтересованных лиц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E8" w:rsidRPr="004761E8" w:rsidRDefault="004761E8" w:rsidP="003705D6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761E8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Заключение</w:t>
            </w:r>
          </w:p>
        </w:tc>
      </w:tr>
      <w:tr w:rsidR="009E45DB" w:rsidRPr="004761E8" w:rsidTr="00182CE0"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E8" w:rsidRPr="004761E8" w:rsidRDefault="004761E8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761E8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E8" w:rsidRPr="004761E8" w:rsidRDefault="00576A36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Рогозенко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r w:rsidR="00DA6B5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О.А.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B50" w:rsidRPr="004761E8" w:rsidRDefault="00DA6B50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1.</w:t>
            </w:r>
            <w:r w:rsidR="009E45D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Считает целесообразным данные проекты отправить на доработку с последующим публичным обсуждением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E8" w:rsidRDefault="006A1810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Учесть</w:t>
            </w:r>
            <w:r w:rsidR="00DA6B5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частично.</w:t>
            </w:r>
          </w:p>
          <w:p w:rsidR="00DA6B50" w:rsidRDefault="00DA6B50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В программах имеется ряд технических </w:t>
            </w:r>
            <w:r w:rsidR="0042766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ошибок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, которые необходимо исправить, но исправлении </w:t>
            </w:r>
            <w:r w:rsidR="0042766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технических ошибок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не влия</w:t>
            </w:r>
            <w:r w:rsidR="007517A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 на перспективу развития транспортной и социальной инфраструктуры</w:t>
            </w:r>
            <w:r w:rsidR="007517A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, не изменяе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 смысл Программ и характерные и целевые показатели  Программ.</w:t>
            </w:r>
          </w:p>
          <w:p w:rsidR="00DA6B50" w:rsidRPr="004761E8" w:rsidRDefault="007517A6" w:rsidP="00427664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Решено отправить Программы</w:t>
            </w:r>
            <w:r w:rsidR="00DA6B5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разработчикам для исправления технических </w:t>
            </w:r>
            <w:proofErr w:type="gramStart"/>
            <w:r w:rsidR="0042766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ошибок</w:t>
            </w:r>
            <w:proofErr w:type="gramEnd"/>
            <w:r w:rsidR="00DA6B5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после чего напра</w:t>
            </w:r>
            <w:r w:rsidR="0042766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вить Г</w:t>
            </w:r>
            <w:r w:rsidR="00DA6B5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лаве поселения для утверждения. Необходимость  в проведении повторных слушаний не установлена.</w:t>
            </w:r>
          </w:p>
        </w:tc>
      </w:tr>
      <w:tr w:rsidR="00182CE0" w:rsidRPr="004761E8" w:rsidTr="00182CE0"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E0" w:rsidRPr="004761E8" w:rsidRDefault="00182CE0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E0" w:rsidRDefault="00182CE0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E0" w:rsidRDefault="00182CE0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1.2. 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программе комплексного развития социальной инфраструктуры отражены не только местные объекты, но и объекты районного и регионального значения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E0" w:rsidRDefault="00182CE0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Так как Программа разработана на основании Генерального плана, в котором определены объекты местного, районного и регионального значения, то и в  программе отражены все объекты. При этом финансирование определено из соответствующих уровней бюджета.</w:t>
            </w:r>
          </w:p>
        </w:tc>
      </w:tr>
      <w:tr w:rsidR="009E45DB" w:rsidRPr="004761E8" w:rsidTr="00182CE0">
        <w:tc>
          <w:tcPr>
            <w:tcW w:w="8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E8" w:rsidRPr="004761E8" w:rsidRDefault="004761E8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761E8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1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E8" w:rsidRPr="004761E8" w:rsidRDefault="00DA6B50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Петрова Н.В.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E8" w:rsidRPr="004761E8" w:rsidRDefault="009E45DB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2.1.Предлагаю осуществить защиту от шума от железнодорожного транспорта установить звукоизолирующие экраны, устранить речевое оповещение.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5D6" w:rsidRDefault="004761E8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4761E8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Не учитывать. </w:t>
            </w:r>
          </w:p>
          <w:p w:rsidR="009E45DB" w:rsidRDefault="009E45DB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шумоизоляции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и обеспечение безопасности движения на железнодорожном транспорте является полномочиями ОАО «Российские железные дороги»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Речевое оповещение является одним из методов обеспечения безопасности дорожного движения. </w:t>
            </w:r>
          </w:p>
          <w:p w:rsidR="004761E8" w:rsidRPr="004761E8" w:rsidRDefault="009E45DB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Нет оснований вносить в П</w:t>
            </w:r>
            <w:r w:rsidR="007517A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рограмму.</w:t>
            </w:r>
          </w:p>
        </w:tc>
      </w:tr>
      <w:tr w:rsidR="009E45DB" w:rsidRPr="004761E8" w:rsidTr="00182CE0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/>
            <w:hideMark/>
          </w:tcPr>
          <w:p w:rsidR="004761E8" w:rsidRPr="004761E8" w:rsidRDefault="004761E8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hideMark/>
          </w:tcPr>
          <w:p w:rsidR="004761E8" w:rsidRPr="004761E8" w:rsidRDefault="004761E8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1E8" w:rsidRPr="004761E8" w:rsidRDefault="0078765E" w:rsidP="00182CE0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2.2.</w:t>
            </w:r>
            <w:r w:rsidR="003705D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В связи с высокой плотностью вредностей предлагаю использовать в</w:t>
            </w:r>
            <w:r w:rsidR="007517A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</w:t>
            </w:r>
            <w:r w:rsidR="003705D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е возможные способы для изменения коридора самолетов, идущих на посадку в Пулково.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5D6" w:rsidRDefault="006A1810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Не учитывать.</w:t>
            </w:r>
          </w:p>
          <w:p w:rsidR="004761E8" w:rsidRPr="004761E8" w:rsidRDefault="009E45DB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9E45D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В программе не рассматривается воздушный транспорт, так 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как отсутствуют  объекты воздушного транспорта, размещаемые на территории муниципального образования.</w:t>
            </w:r>
          </w:p>
        </w:tc>
      </w:tr>
      <w:tr w:rsidR="0078765E" w:rsidRPr="004761E8" w:rsidTr="00182CE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/>
          </w:tcPr>
          <w:p w:rsidR="0078765E" w:rsidRPr="004761E8" w:rsidRDefault="0078765E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</w:tcPr>
          <w:p w:rsidR="0078765E" w:rsidRPr="004761E8" w:rsidRDefault="0078765E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Шакирова Л</w:t>
            </w:r>
            <w:r w:rsidR="006A18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65E" w:rsidRDefault="0078765E" w:rsidP="00182CE0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r w:rsidR="006A18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Добавить цифры, подтверждающие заключение о благополучности или не благополучности окружающей среды.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D6" w:rsidRDefault="006A1810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Не учитывать.</w:t>
            </w:r>
          </w:p>
          <w:p w:rsidR="0078765E" w:rsidRDefault="0078765E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настоящее время регулярный мониторинг состояния окружающей</w:t>
            </w:r>
            <w:r w:rsidR="006A18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среды поселения не осуществляется. В рамках разработки Программы провести работу по оценке состояния окружающей среды за счет средств бюджета Красноборского поселения не представляется возможным. Нет официального заключения о негативном состоянии окружающей среды в поселении, в связи с чем</w:t>
            </w:r>
            <w:r w:rsidR="007517A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,</w:t>
            </w:r>
            <w:r w:rsidR="006A18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состояние окружающей среды определено в  программе как удовлетворительное.</w:t>
            </w:r>
          </w:p>
          <w:p w:rsidR="006A1810" w:rsidRPr="009E45DB" w:rsidRDefault="006A1810" w:rsidP="00182CE0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6A1810" w:rsidRPr="004761E8" w:rsidTr="00182CE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/>
          </w:tcPr>
          <w:p w:rsidR="006A1810" w:rsidRDefault="006A1810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</w:tcPr>
          <w:p w:rsidR="006A1810" w:rsidRDefault="006A1810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Буцько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Л.Е.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10" w:rsidRDefault="008D2873" w:rsidP="00182CE0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4.1.Обеспечить приоритетно строительство пешеходного моста через железнодорожные пути станции Поповка, а также установку экранов от шумового воздействия на жилую зону.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873" w:rsidRDefault="008D2873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Не учитывать.</w:t>
            </w:r>
          </w:p>
          <w:p w:rsidR="006A1810" w:rsidRDefault="008D2873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8D2873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Поселение не имеет возможности установить приоритет объекта федерального значения.</w:t>
            </w:r>
          </w:p>
        </w:tc>
      </w:tr>
      <w:tr w:rsidR="008D2873" w:rsidRPr="004761E8" w:rsidTr="00182CE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/>
          </w:tcPr>
          <w:p w:rsidR="008D2873" w:rsidRDefault="008D2873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</w:tcPr>
          <w:p w:rsidR="008D2873" w:rsidRDefault="008D2873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873" w:rsidRDefault="008D2873" w:rsidP="00182CE0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4.2.Обеспечить в первую очередь формирование пешеходных тротуаров  и специализированных дорожек для велосипедного транспорта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873" w:rsidRDefault="008D2873" w:rsidP="00182CE0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 Программе на первый этап до 2021 года запланировано проектирование и строительство пешеходных дорожек</w:t>
            </w:r>
          </w:p>
        </w:tc>
      </w:tr>
      <w:tr w:rsidR="008D2873" w:rsidRPr="004761E8" w:rsidTr="00182CE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/>
          </w:tcPr>
          <w:p w:rsidR="008D2873" w:rsidRDefault="008D2873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</w:tcPr>
          <w:p w:rsidR="008D2873" w:rsidRDefault="008D2873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873" w:rsidRDefault="008D2873" w:rsidP="00182CE0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4.3. Включить в план развития  транспортной инфраструктуры строительство пешеходной дорожки, примыкающей к серединному спуску с платформы №1 и огибающей водоем, расположенный у платформы.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4B7" w:rsidRDefault="002624B7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Не учитывать.</w:t>
            </w:r>
          </w:p>
          <w:p w:rsidR="008D2873" w:rsidRDefault="008D2873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8D2873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Данный тер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</w:t>
            </w:r>
            <w:r w:rsidRPr="008D2873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итория является проездом, а не пешеходной дорожкой, 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в настоящее время не </w:t>
            </w:r>
            <w:r w:rsidRPr="008D2873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определе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на</w:t>
            </w:r>
            <w:r w:rsidR="0042766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его принадлежность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 После постановки на баланс поселения данного проезда</w:t>
            </w:r>
            <w:r w:rsidRPr="008D2873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администр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ация установит варианты его ремонта и со</w:t>
            </w:r>
            <w:r w:rsidRPr="008D2873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держания. 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</w:t>
            </w:r>
            <w:r w:rsidRPr="008D2873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ри очередной актуализации программы можн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 будет включить этот объе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кт в П</w:t>
            </w:r>
            <w:r w:rsidRPr="008D2873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</w:t>
            </w:r>
            <w:proofErr w:type="gramEnd"/>
            <w:r w:rsidRPr="008D2873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ограмму.</w:t>
            </w:r>
          </w:p>
        </w:tc>
      </w:tr>
      <w:tr w:rsidR="008D2873" w:rsidRPr="004761E8" w:rsidTr="00182CE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/>
          </w:tcPr>
          <w:p w:rsidR="008D2873" w:rsidRDefault="008D2873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</w:tcPr>
          <w:p w:rsidR="008D2873" w:rsidRDefault="008D2873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873" w:rsidRDefault="008D2873" w:rsidP="00182CE0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4.4. Обеспечить строительство дорожного покрытия у магазина «Магнит»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873" w:rsidRDefault="008D2873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Не учитывать.</w:t>
            </w:r>
          </w:p>
          <w:p w:rsidR="008D2873" w:rsidRPr="008D2873" w:rsidRDefault="008D2873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Территория является частной собственностью и должна быть отремонтирована собственником в рамках благоустройства территории</w:t>
            </w:r>
          </w:p>
        </w:tc>
      </w:tr>
      <w:tr w:rsidR="002624B7" w:rsidRPr="004761E8" w:rsidTr="00182CE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/>
          </w:tcPr>
          <w:p w:rsidR="002624B7" w:rsidRDefault="002624B7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</w:tcPr>
          <w:p w:rsidR="002624B7" w:rsidRDefault="002624B7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4B7" w:rsidRDefault="002624B7" w:rsidP="00182CE0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4.5. Обеспечить строительство искусственных дорожных неровностей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4B7" w:rsidRDefault="002624B7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Не учитывать.</w:t>
            </w:r>
          </w:p>
          <w:p w:rsidR="002624B7" w:rsidRDefault="002624B7" w:rsidP="00182CE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2624B7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Обустройство 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искусственных неровностей осуществляется в соответствии с Дислокацией дорожных знаков. </w:t>
            </w:r>
          </w:p>
        </w:tc>
      </w:tr>
      <w:tr w:rsidR="002624B7" w:rsidRPr="004761E8" w:rsidTr="00182CE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/>
          </w:tcPr>
          <w:p w:rsidR="002624B7" w:rsidRDefault="002624B7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</w:tcPr>
          <w:p w:rsidR="002624B7" w:rsidRDefault="002624B7" w:rsidP="0018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Плахотина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М.В.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4B7" w:rsidRDefault="002624B7" w:rsidP="00182CE0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Признать программу непродуманной, не доработанной, не жизнеспособной. Для создания подобной программы надо информировать население и проводить публичные слушания по жизненно важным пунктам этой программы, таким как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промзоны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B85" w:rsidRDefault="00112B85" w:rsidP="00112B8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Не учитывать.</w:t>
            </w:r>
          </w:p>
          <w:p w:rsidR="001904D5" w:rsidRDefault="002624B7" w:rsidP="00112B85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Программа подл</w:t>
            </w:r>
            <w:r w:rsidR="001904D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ежит обсуждению на публичных сл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ушаниях. </w:t>
            </w:r>
            <w:r w:rsidR="001904D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Вопрос размещения </w:t>
            </w:r>
            <w:proofErr w:type="spellStart"/>
            <w:r w:rsidR="001904D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промзоны</w:t>
            </w:r>
            <w:proofErr w:type="spellEnd"/>
            <w:r w:rsidR="001904D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="001904D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Красноборская</w:t>
            </w:r>
            <w:proofErr w:type="spellEnd"/>
            <w:r w:rsidR="001904D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» не является </w:t>
            </w:r>
            <w:proofErr w:type="gramStart"/>
            <w:r w:rsidR="001904D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вопросом</w:t>
            </w:r>
            <w:proofErr w:type="gramEnd"/>
            <w:r w:rsidR="00112B8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разрабатываемым в рамках данных Программ</w:t>
            </w:r>
            <w:r w:rsidR="001904D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  <w:r w:rsidR="00E52574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904D5" w:rsidRPr="004761E8" w:rsidTr="003705D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</w:tcPr>
          <w:p w:rsidR="001904D5" w:rsidRDefault="001904D5" w:rsidP="0078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</w:tcPr>
          <w:p w:rsidR="001904D5" w:rsidRDefault="001904D5" w:rsidP="0078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Майстренко С.А.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4D5" w:rsidRDefault="001904D5" w:rsidP="008D2873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Исключить из программы строительство новой магистральной улицы, проходящей северней </w:t>
            </w:r>
            <w:r w:rsidR="003705D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микрорайона РЦ вдоль </w:t>
            </w:r>
            <w:proofErr w:type="gramStart"/>
            <w:r w:rsidR="003705D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ВЛ</w:t>
            </w:r>
            <w:proofErr w:type="gramEnd"/>
            <w:r w:rsidR="003705D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к </w:t>
            </w:r>
            <w:r w:rsidR="003705D6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планируемому путепроводу через ж/д пути, далее по кольцу к пр. Ленина.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5D6" w:rsidRDefault="003705D6" w:rsidP="003705D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lastRenderedPageBreak/>
              <w:t>Не учитывать.</w:t>
            </w:r>
          </w:p>
          <w:p w:rsidR="003705D6" w:rsidRDefault="003705D6" w:rsidP="007517A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Данный объект предусмотрен Генеральным планом, соглас</w:t>
            </w:r>
            <w:r w:rsidR="00112B8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ован с комитетом по транспорту</w:t>
            </w: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</w:tc>
      </w:tr>
    </w:tbl>
    <w:p w:rsidR="004761E8" w:rsidRPr="004761E8" w:rsidRDefault="004761E8" w:rsidP="004761E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761E8">
        <w:rPr>
          <w:rFonts w:ascii="Helvetica" w:eastAsia="Times New Roman" w:hAnsi="Helvetica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112B85" w:rsidRPr="00427664" w:rsidRDefault="00112B85" w:rsidP="00112B8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По результатам проведения публи</w:t>
      </w:r>
      <w:r w:rsidR="004761E8"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чны</w:t>
      </w:r>
      <w:r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х</w:t>
      </w:r>
      <w:r w:rsidR="004761E8"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слушани</w:t>
      </w:r>
      <w:r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й</w:t>
      </w:r>
      <w:r w:rsidR="004761E8"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принято решение</w:t>
      </w:r>
    </w:p>
    <w:p w:rsidR="003705D6" w:rsidRPr="00427664" w:rsidRDefault="00112B85" w:rsidP="00112B85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proofErr w:type="gramStart"/>
      <w:r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Считать публичные слушания </w:t>
      </w:r>
      <w:r w:rsidR="007517A6"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3705D6"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проекту программы комплексного развития транспортной инфраструктуры Красноборского городского поселения Тосненского района Ленинградской области на период 2017-2021 годы и на перспективу до 2030 года, по проекту программы комплексного развития социальной инфраструктуры Красноборского городского поселения Тосненского района Ленинградской области на период 2017-2021 годы и на перспективу до 2030 года </w:t>
      </w:r>
      <w:r w:rsidR="004761E8"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состоявшимися. </w:t>
      </w:r>
      <w:proofErr w:type="gramEnd"/>
    </w:p>
    <w:p w:rsidR="00112B85" w:rsidRPr="00427664" w:rsidRDefault="00112B85" w:rsidP="00112B85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proofErr w:type="gramStart"/>
      <w:r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Рекомендовать главе Красноборского городского поселения Тосненского района Ленинградской области при принятии распоряжения «Об утверждении Программы комплексного развития транспортной инфраструктуры Красноборского городского поселения Тосненского района Ленинградской области на период 2017-2021 годы и на перспективу до 2030 года, по проекту программы комплексного развития социальной инфраструктуры Красноборского городского поселения Тосненского района Ленинградской области на период 2017-2021 годы и на перспективу до 2030 года</w:t>
      </w:r>
      <w:proofErr w:type="gramEnd"/>
      <w:r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, учесть замечания и предложения, поступившие в ходе проведения публичных слушаний, согласно заключению по каждому из замечаний и предложений.</w:t>
      </w:r>
    </w:p>
    <w:p w:rsidR="00112B85" w:rsidRPr="00427664" w:rsidRDefault="00112B85" w:rsidP="00112B85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Направить результаты публичных слушаний и протокол проведения публичных слушаний Главе Красноборского городского поселения.</w:t>
      </w:r>
    </w:p>
    <w:p w:rsidR="00112B85" w:rsidRPr="00427664" w:rsidRDefault="00112B85" w:rsidP="00112B85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42766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Опубликовать (обнародовать) результаты проведения публичных слушаний.</w:t>
      </w:r>
    </w:p>
    <w:p w:rsidR="00062EED" w:rsidRDefault="00062EED"/>
    <w:p w:rsidR="00182CE0" w:rsidRDefault="00182CE0">
      <w:pPr>
        <w:rPr>
          <w:rFonts w:ascii="Times New Roman" w:hAnsi="Times New Roman" w:cs="Times New Roman"/>
          <w:sz w:val="24"/>
          <w:szCs w:val="24"/>
        </w:rPr>
      </w:pPr>
      <w:r w:rsidRPr="00182CE0">
        <w:rPr>
          <w:rFonts w:ascii="Times New Roman" w:hAnsi="Times New Roman" w:cs="Times New Roman"/>
          <w:sz w:val="24"/>
          <w:szCs w:val="24"/>
        </w:rPr>
        <w:t>Председатель публичных слушаний                                                 Платонова О.В.</w:t>
      </w:r>
    </w:p>
    <w:p w:rsidR="00182CE0" w:rsidRDefault="00182CE0">
      <w:pPr>
        <w:rPr>
          <w:rFonts w:ascii="Times New Roman" w:hAnsi="Times New Roman" w:cs="Times New Roman"/>
          <w:sz w:val="24"/>
          <w:szCs w:val="24"/>
        </w:rPr>
      </w:pPr>
    </w:p>
    <w:p w:rsidR="00182CE0" w:rsidRPr="00182CE0" w:rsidRDefault="00182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02.11.2017 г.</w:t>
      </w:r>
    </w:p>
    <w:sectPr w:rsidR="00182CE0" w:rsidRPr="00182CE0" w:rsidSect="004761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9178D"/>
    <w:multiLevelType w:val="hybridMultilevel"/>
    <w:tmpl w:val="4F2E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42138"/>
    <w:multiLevelType w:val="multilevel"/>
    <w:tmpl w:val="20F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C74D7"/>
    <w:multiLevelType w:val="hybridMultilevel"/>
    <w:tmpl w:val="DF00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847EF"/>
    <w:multiLevelType w:val="hybridMultilevel"/>
    <w:tmpl w:val="64AECC34"/>
    <w:lvl w:ilvl="0" w:tplc="A6269C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444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E3"/>
    <w:rsid w:val="00062EED"/>
    <w:rsid w:val="00112B85"/>
    <w:rsid w:val="00116543"/>
    <w:rsid w:val="00153394"/>
    <w:rsid w:val="00182CE0"/>
    <w:rsid w:val="001904D5"/>
    <w:rsid w:val="002624B7"/>
    <w:rsid w:val="002A490B"/>
    <w:rsid w:val="003537D9"/>
    <w:rsid w:val="003705D6"/>
    <w:rsid w:val="00427664"/>
    <w:rsid w:val="004577E3"/>
    <w:rsid w:val="004761E8"/>
    <w:rsid w:val="005264CD"/>
    <w:rsid w:val="00576A36"/>
    <w:rsid w:val="006905FB"/>
    <w:rsid w:val="006A1810"/>
    <w:rsid w:val="007517A6"/>
    <w:rsid w:val="0078765E"/>
    <w:rsid w:val="008D2873"/>
    <w:rsid w:val="009E45DB"/>
    <w:rsid w:val="00D7244D"/>
    <w:rsid w:val="00DA6B50"/>
    <w:rsid w:val="00E5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C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654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6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C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654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bor.ru/gr-d/programma-kompleksnogo-razvitiya-transportnoj-infrastruktu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rbor.ru/sovet-deputatov/doc/9-resheniya-soveta-deputa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acts/Krasniy-Bo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bor.ru/gr-d/programma-kompleksnogo-razvitiya-sotsialnoj-infrastruk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</dc:creator>
  <cp:lastModifiedBy>971</cp:lastModifiedBy>
  <cp:revision>2</cp:revision>
  <cp:lastPrinted>2017-11-03T13:23:00Z</cp:lastPrinted>
  <dcterms:created xsi:type="dcterms:W3CDTF">2017-11-03T15:21:00Z</dcterms:created>
  <dcterms:modified xsi:type="dcterms:W3CDTF">2017-11-03T15:21:00Z</dcterms:modified>
</cp:coreProperties>
</file>