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26" w:rsidRPr="00465926" w:rsidRDefault="00465926" w:rsidP="00465926">
      <w:pPr>
        <w:tabs>
          <w:tab w:val="left" w:pos="2105"/>
          <w:tab w:val="left" w:pos="2592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6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социально-экономического развития Красноборского городского поселения Тосненского райо</w:t>
      </w:r>
      <w:r w:rsidR="00A2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Ленинградской области на 2018</w:t>
      </w:r>
      <w:r w:rsidRPr="0046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201</w:t>
      </w:r>
      <w:r w:rsidR="00A2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A2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465926" w:rsidRPr="00465926" w:rsidRDefault="00465926" w:rsidP="004659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926" w:rsidRPr="00465926" w:rsidRDefault="00465926" w:rsidP="0046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прогноза развития экономики и социальной сферы Красноборского  городского поселения   Тосненского района Ленинградской области (далее-поселение)    на 201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является достигнутый уровень развития основных отраслей экономики и социальной сферы поселения за 201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намерения субъектов хозяйственной деятельности на  201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сценарные условия социально-экономического развития Российской Федерации на 201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 экономической политики будет создание условий, которые обеспечат устойчивые темпы экономического роста. Они могут быть достигнуты путем решения следующих приоритетных задач: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эффективности использования имеющихся в поселении природных, трудовых ресурсов, свободных производственных площадей и мощностей;</w:t>
      </w: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системы мер и дальнейшее развитие инфраструктуры, способствующих становлению и укреплению малого бизнеса;</w:t>
      </w: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сохранение благоприятного предпринимательского и инвестиционного климата на территории поселения.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Поселение в соответствие с областным законом от 22 декабря 2004 года № 116-оз       «Об установлении границ и наделении соответствующим статусом муниципального образования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и муниципальных образований в его составе» входит в состав Тосненского муниципального района Ленинградской области.       В состав поселения входят четыре населенных пункта: городской поселок Красный Бор, административный центр поселения, расположенный в </w:t>
      </w:r>
      <w:smartTag w:uri="urn:schemas-microsoft-com:office:smarttags" w:element="metricconverter">
        <w:smartTagPr>
          <w:attr w:name="ProductID" w:val="20 км"/>
        </w:smartTagPr>
        <w:r w:rsidRPr="00465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км</w:t>
        </w:r>
      </w:smartTag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юго-востоку                                 от  Санкт-Петербурга, деревни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Мишкино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находится в северной части муниципального района: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Форносовским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поселением; на западе – с Фёдоровским сельским поселением; на северо-востоке с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поселением: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территории поселения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 основным предприятиям, осуществляющим свою деятельность на территории поселения, относятся: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ЗАО«Фискарс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Рус»,                       ООО«СМУ171»,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ООО«Радиус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ООО«Балтнефтепровод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АвтоБалтСервисПлюс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Сотранс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Сити», ОАО «ЛСР Стеновые материалы СЗ»,</w:t>
      </w:r>
      <w:r w:rsidRPr="004659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ЭнергоПромМонтаж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АтлантТранссервис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действующих на территории поселения предприятий приведен в таблице 1.1: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-48"/>
        <w:tblW w:w="9322" w:type="dxa"/>
        <w:tblLook w:val="0000" w:firstRow="0" w:lastRow="0" w:firstColumn="0" w:lastColumn="0" w:noHBand="0" w:noVBand="0"/>
      </w:tblPr>
      <w:tblGrid>
        <w:gridCol w:w="3085"/>
        <w:gridCol w:w="6237"/>
      </w:tblGrid>
      <w:tr w:rsidR="00465926" w:rsidRPr="00465926" w:rsidTr="008D5A28">
        <w:trPr>
          <w:trHeight w:val="95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Наименование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ЗАО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Фискарс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Бранд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Рус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«СМУ-171»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Радиус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Деревообрабатывающее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производство</w:t>
            </w:r>
            <w:proofErr w:type="spellEnd"/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Атлант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Строй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Сервис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Балтнефтепровод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Транспортировка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светлых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нефтепродуктов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65926" w:rsidRPr="00465926" w:rsidTr="008D5A28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ЗАО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Статойл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Многотопливный заправочный комплекс на автодороге «Россия»</w:t>
            </w:r>
          </w:p>
        </w:tc>
      </w:tr>
      <w:tr w:rsidR="00465926" w:rsidRPr="00465926" w:rsidTr="008D5A28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Сотранс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Сити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Комплекс по обслуживанию и продаже грузовых автомобилей</w:t>
            </w:r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АвтоБалтСервисПлюс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Стоянка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грузового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автотранспорта</w:t>
            </w:r>
            <w:proofErr w:type="spellEnd"/>
          </w:p>
        </w:tc>
      </w:tr>
      <w:tr w:rsidR="00465926" w:rsidRPr="00465926" w:rsidTr="008D5A2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ОАО «ЛСР Стеновые материалы СЗ»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Строительные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материалы</w:t>
            </w:r>
            <w:proofErr w:type="spellEnd"/>
          </w:p>
        </w:tc>
      </w:tr>
      <w:tr w:rsidR="00465926" w:rsidRPr="00465926" w:rsidTr="008D5A28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Фининвест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Стоянка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грузового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автотранспорта</w:t>
            </w:r>
            <w:proofErr w:type="spellEnd"/>
          </w:p>
        </w:tc>
      </w:tr>
      <w:tr w:rsidR="00465926" w:rsidRPr="00465926" w:rsidTr="008D5A28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ООО «НПКФ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Ресурс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Складская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база</w:t>
            </w:r>
            <w:proofErr w:type="spellEnd"/>
          </w:p>
        </w:tc>
      </w:tr>
      <w:tr w:rsidR="00465926" w:rsidRPr="00465926" w:rsidTr="008D5A28">
        <w:trPr>
          <w:trHeight w:val="16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Ярославна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Автозаправочная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станция</w:t>
            </w:r>
            <w:proofErr w:type="spellEnd"/>
          </w:p>
        </w:tc>
      </w:tr>
      <w:tr w:rsidR="00465926" w:rsidRPr="00465926" w:rsidTr="008D5A28">
        <w:trPr>
          <w:trHeight w:val="16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Арис-Северо-Запад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Автозаправочная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станция</w:t>
            </w:r>
            <w:proofErr w:type="spellEnd"/>
          </w:p>
        </w:tc>
      </w:tr>
      <w:tr w:rsidR="00465926" w:rsidRPr="00465926" w:rsidTr="008D5A28">
        <w:trPr>
          <w:trHeight w:val="16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ГУПП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Полигон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Красный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Бор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Прием, обезвреживание и захоронение промышленных токсичных отходов</w:t>
            </w:r>
          </w:p>
        </w:tc>
      </w:tr>
      <w:tr w:rsidR="00465926" w:rsidRPr="00465926" w:rsidTr="008D5A28">
        <w:trPr>
          <w:trHeight w:val="6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926" w:rsidRPr="00465926" w:rsidTr="008D5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3085" w:type="dxa"/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АмироЭнерго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Производство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металлоконструкций</w:t>
            </w:r>
            <w:proofErr w:type="spellEnd"/>
          </w:p>
        </w:tc>
      </w:tr>
      <w:tr w:rsidR="00465926" w:rsidRPr="00465926" w:rsidTr="008D5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085" w:type="dxa"/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Аста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Автозапчасти</w:t>
            </w:r>
            <w:proofErr w:type="spellEnd"/>
          </w:p>
        </w:tc>
      </w:tr>
      <w:tr w:rsidR="00465926" w:rsidRPr="00465926" w:rsidTr="008D5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085" w:type="dxa"/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ЭнергоПромМонтаж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6237" w:type="dxa"/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5926">
              <w:rPr>
                <w:rFonts w:ascii="Times New Roman" w:eastAsia="Times New Roman" w:hAnsi="Times New Roman" w:cs="Times New Roman"/>
                <w:lang w:val="en-US" w:eastAsia="ru-RU"/>
              </w:rPr>
              <w:t>Электричество</w:t>
            </w:r>
            <w:proofErr w:type="spellEnd"/>
          </w:p>
        </w:tc>
      </w:tr>
      <w:tr w:rsidR="00465926" w:rsidRPr="00465926" w:rsidTr="008D5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085" w:type="dxa"/>
          </w:tcPr>
          <w:p w:rsidR="00465926" w:rsidRPr="00465926" w:rsidRDefault="00465926" w:rsidP="0046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АтлантТранссервис</w:t>
            </w:r>
            <w:proofErr w:type="spellEnd"/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237" w:type="dxa"/>
          </w:tcPr>
          <w:p w:rsidR="00465926" w:rsidRPr="00465926" w:rsidRDefault="00465926" w:rsidP="00465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26">
              <w:rPr>
                <w:rFonts w:ascii="Times New Roman" w:eastAsia="Times New Roman" w:hAnsi="Times New Roman" w:cs="Times New Roman"/>
                <w:lang w:eastAsia="ru-RU"/>
              </w:rPr>
              <w:t>Заготовка, хранение, переработка и реализация лома черных и цветных металлов</w:t>
            </w:r>
          </w:p>
        </w:tc>
      </w:tr>
    </w:tbl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Финская компания ЗАО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Фискарс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 является одним из старейших специализированных предприятий и ведущим мировым производителем ножниц, садового инвентаря посуды и прочих потребительских товаров, продаваемых под известными торговыми марками.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производственно-диспетчерская станция (ЛПДС)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Балтнефтепровод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расположенная на территории Красноборского городского поселения, обеспечивает транспортировку светлых нефтепродуктов по магистральному нефтепродуктопроводу на четыре нефтебазы Санкт-Петербурга, снабжает предприятия и автозаправочные станции города и области дизельным топливом, бензинами  А-92 и А-95.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унитарное природоохранное предприятие (ГУПП) «Полигон «Красный Бор» предназначено для приема, обезвреживания и захоронения промышленных токсичных отходов более чем 450 предприятий Санкт-Петербурга и Ленинградской области.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30 июня состоялось открытие нового завода про производству металлоконструкций ООО «Мегаполис», </w:t>
      </w: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 заводе создано 80 новых рабочих мест.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2016 году 05 июля открылось новое предприятие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АтлантТранссервис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13 новыми рабочими местами.</w:t>
      </w:r>
      <w:r w:rsidRPr="004659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М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ногофункциональный логистический комплекс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промзона-2» предполагается разместить вдоль федеральной автомобильной магистрали «Россия» Москва-Санкт-Петербург, вблизи поселения на земельном участке площадью около </w:t>
      </w:r>
      <w:smartTag w:uri="urn:schemas-microsoft-com:office:smarttags" w:element="metricconverter">
        <w:smartTagPr>
          <w:attr w:name="ProductID" w:val="30 г"/>
        </w:smartTagPr>
        <w:r w:rsidRPr="004659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га</w:t>
        </w:r>
      </w:smartTag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плотность застройки 50%. В результате реализации проекта может быть организовано до 800 новых рабочих мест.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В состав многофункционального комплекса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промышленная              зона - 2» планируется включить: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складские комплексы класса «А», в том числе, специализированные помещения для хранения (холодильные или фармацевтические склады);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 технического обслуживания большегрузных автомобилей;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общественно-деловой комплекс;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гостиничный комплекс.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Производственно-складская зона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территория, которая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к освоению на расчетный срок. Участки резервируются на землях сельскохозяйственного назначения (собственник участков ОАО «Племхоз им. Тельмана»).                                         Состав производственного комплекса в настоящее время не установлен.                             Площадь резервируемой территории составляет </w:t>
      </w:r>
      <w:smartTag w:uri="urn:schemas-microsoft-com:office:smarttags" w:element="metricconverter">
        <w:smartTagPr>
          <w:attr w:name="ProductID" w:val="251,5 га"/>
        </w:smartTagPr>
        <w:r w:rsidRPr="004659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251,5 га</w:t>
        </w:r>
      </w:smartTag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развития производственно-логистической зоны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ориентированы на транспортно-логистические центры, промышленность. Актуальность и повышенный спрос на услуги данного направления развития поддерживаются увеличением объемов продовольственных и непродовольственных товаров при дефиците логистических центров.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долю в промышленности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Краснобрского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занимает обрабат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ывающее производство в 201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отгруженных товаров собственного производства соста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 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>1006573,59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 2018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ожидается небольшое повышение 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>1059570,6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последующие года объем отгруженн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товаров увеличивается в  2019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>1103265,27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2020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1152542,35.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Красноборском городском поселении сохраняется стабильная положительная динамика относительно 2015 года производства металлургического производства и производство готовых металлических изделий (100,8%). 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926" w:rsidRPr="00465926" w:rsidRDefault="00465926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социально-экономического развития поселения на  </w:t>
      </w:r>
    </w:p>
    <w:p w:rsidR="00465926" w:rsidRPr="00465926" w:rsidRDefault="00E36C29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и на период до 2020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являются: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развитие Западной промышленно-складской зоны;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системы поддержки инновационной деятельности;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социальной, инженерной, инновационной, транспортной и иных инфраструктур;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инвестиционной привлекательности;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 здравоохранения, образования, культуры, спорта и социальной защиты населения;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системы кадрового обеспечения промышленно-складской зоны;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-рациональное природопользование и обеспечение защиты окружающей природной среды;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налоговых поступлений в бюджеты всех уровней.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 доходной части бюджета.</w:t>
      </w:r>
    </w:p>
    <w:p w:rsidR="00465926" w:rsidRPr="00465926" w:rsidRDefault="00465926" w:rsidP="0046592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тупление доходов в бюджет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(без учета межбюджетных трансфертов) составит 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56,4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рублей, что на 68,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8 % выше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доходной части бюджета 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2018, 2019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составит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41,5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</w:t>
      </w:r>
      <w:r w:rsidR="00294E20">
        <w:rPr>
          <w:rFonts w:ascii="Times New Roman" w:eastAsia="Arial Unicode MS" w:hAnsi="Times New Roman" w:cs="Times New Roman"/>
          <w:sz w:val="24"/>
          <w:szCs w:val="24"/>
          <w:lang w:eastAsia="ru-RU"/>
        </w:rPr>
        <w:t>38,2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38,5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соответственно.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294E20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1.1 Налоговые доходы. </w:t>
      </w:r>
    </w:p>
    <w:p w:rsidR="00465926" w:rsidRPr="00465926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  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29,7 млн. рублей, что выше  показателей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поступления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налоговых доходов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 составят соответственно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34,3 млн. рублей, 34,3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рублей и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34,4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6706E4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ожидается поступление </w:t>
      </w:r>
      <w:r w:rsidR="00465926"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налога на доходы физических лиц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</w:p>
    <w:p w:rsidR="00465926" w:rsidRPr="00465926" w:rsidRDefault="006706E4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9,4 млн. рублей, в 2016 году было запланировано 7,2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поступления по налогу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 на 2018, 2019и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соответственно </w:t>
      </w:r>
      <w:r w:rsidR="00294E20">
        <w:rPr>
          <w:rFonts w:ascii="Times New Roman" w:eastAsia="Arial Unicode MS" w:hAnsi="Times New Roman" w:cs="Times New Roman"/>
          <w:sz w:val="24"/>
          <w:szCs w:val="24"/>
          <w:lang w:eastAsia="ru-RU"/>
        </w:rPr>
        <w:t>9,4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9,4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9,4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6706E4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ожидается поступление </w:t>
      </w:r>
      <w:r w:rsidR="00465926"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налога на товары (работы, услуги), реализуемые на территории РФ (акцизы)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2,1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поступление по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налогу на имущество физических лиц</w:t>
      </w:r>
      <w:r w:rsidR="00A8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2,2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8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не </w:t>
      </w:r>
      <w:proofErr w:type="spellStart"/>
      <w:r w:rsidR="00A8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привышает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аналогичног</w:t>
      </w:r>
      <w:r w:rsidR="00A8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показателя предыдущего года. 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по налогу на имущес</w:t>
      </w:r>
      <w:r w:rsidR="00A8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физических лиц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соответственно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2,27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лн</w:t>
      </w:r>
      <w:proofErr w:type="gramStart"/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2,27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2,27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поступление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налога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нормативе отчисления в местный бюджет 100%)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D0489E">
        <w:rPr>
          <w:rFonts w:ascii="Times New Roman" w:eastAsia="Arial Unicode MS" w:hAnsi="Times New Roman" w:cs="Times New Roman"/>
          <w:sz w:val="24"/>
          <w:szCs w:val="24"/>
          <w:lang w:eastAsia="ru-RU"/>
        </w:rPr>
        <w:t>15,8</w:t>
      </w:r>
      <w:r w:rsidRPr="004659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рублей,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2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               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Пр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огнозируемые поступления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 составят соответственно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15,9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15,9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>15,92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D0489E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отменой закона Ленинградской области от 12.10.2015г. №87-оз «О признании утратившим силу областного закона «Об установлении единых нормативов отчислений от транспортного налога»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перечислений транспортного налога в бюджет поселения не произошло.</w:t>
      </w:r>
      <w:r w:rsidR="00465926"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Неналоговые доходы.</w:t>
      </w:r>
    </w:p>
    <w:p w:rsidR="00465926" w:rsidRPr="00465926" w:rsidRDefault="00465926" w:rsidP="00465926">
      <w:pPr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нен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составит               9,4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что</w:t>
      </w:r>
      <w:r w:rsidR="0026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исполнения 2016 года на 22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неналоговых доходов на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2019 и 20120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составят  </w:t>
      </w:r>
      <w:r w:rsidR="00CB55CA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B55CA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CB55CA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поступление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арендной платы за землю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составит </w:t>
      </w:r>
      <w:r w:rsidR="003535B6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ниж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е  показателя предыдущего года.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по арендной плате за землю на 20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>18, 2019 и 2020 годы составят 3,</w:t>
      </w:r>
      <w:r w:rsidR="00CB55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3,</w:t>
      </w:r>
      <w:r w:rsidR="00CB55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соответственно.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поступление доходов от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имущества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3535B6">
        <w:rPr>
          <w:rFonts w:ascii="Times New Roman" w:eastAsia="Times New Roman" w:hAnsi="Times New Roman" w:cs="Times New Roman"/>
          <w:sz w:val="24"/>
          <w:szCs w:val="24"/>
          <w:lang w:eastAsia="ru-RU"/>
        </w:rPr>
        <w:t>405,00 тыс</w:t>
      </w:r>
      <w:r w:rsidR="0001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Прогнозируемые поступл</w:t>
      </w:r>
      <w:r w:rsidR="0001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по аренде имущества на 2018, 2019 и 2020 годы составят также </w:t>
      </w:r>
      <w:r w:rsidR="0035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405,00 </w:t>
      </w:r>
      <w:proofErr w:type="spellStart"/>
      <w:r w:rsidR="003535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доходов от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земельных участков </w:t>
      </w:r>
      <w:r w:rsidR="00014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составят </w:t>
      </w:r>
      <w:r w:rsidR="003535B6">
        <w:rPr>
          <w:rFonts w:ascii="Times New Roman" w:eastAsia="Times New Roman" w:hAnsi="Times New Roman" w:cs="Times New Roman"/>
          <w:sz w:val="24"/>
          <w:szCs w:val="24"/>
          <w:lang w:eastAsia="ru-RU"/>
        </w:rPr>
        <w:t>100,00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5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Безвозмездные поступления.</w:t>
      </w:r>
    </w:p>
    <w:p w:rsidR="00465926" w:rsidRPr="00465926" w:rsidRDefault="00465926" w:rsidP="00465926">
      <w:pPr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014C97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в 2017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доходов от </w:t>
      </w:r>
      <w:r w:rsidR="00465926"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безвозмездных поступлений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составят</w:t>
      </w:r>
      <w:r w:rsidR="00465926"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B6742">
        <w:rPr>
          <w:rFonts w:ascii="Times New Roman" w:eastAsia="Times New Roman" w:hAnsi="Times New Roman" w:cs="Times New Roman"/>
          <w:sz w:val="24"/>
          <w:szCs w:val="24"/>
          <w:lang w:eastAsia="ru-RU"/>
        </w:rPr>
        <w:t>15,5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2016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A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эти поступления составили </w:t>
      </w:r>
      <w:r w:rsidR="0013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F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2,8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="00014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очно: по состоянию на 01.10.201</w:t>
      </w:r>
      <w:r w:rsidR="00DA4E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поступили безвозмездные перечисления в виде:</w:t>
      </w:r>
    </w:p>
    <w:p w:rsidR="00465926" w:rsidRPr="00465926" w:rsidRDefault="00465926" w:rsidP="004659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поселений (межбюджетные субсидии) – </w:t>
      </w:r>
      <w:r w:rsidR="00144D37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926" w:rsidRPr="00465926" w:rsidRDefault="00465926" w:rsidP="004659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дотации бюджетам поселения на выравнивание бюджетной обеспеченности – </w:t>
      </w:r>
      <w:r w:rsidR="00144D37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субвенция бюджетам на осуществление первичного воинского учета на </w:t>
      </w:r>
    </w:p>
    <w:p w:rsidR="00465926" w:rsidRPr="00465926" w:rsidRDefault="00465926" w:rsidP="002D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территориях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отсутствуют военные комиссариаты  (федеральный бюджет, Комитет правопорядка и безопасности ЛО)  – </w:t>
      </w:r>
      <w:r w:rsidR="00144D37">
        <w:rPr>
          <w:rFonts w:ascii="Times New Roman" w:eastAsia="Times New Roman" w:hAnsi="Times New Roman" w:cs="Times New Roman"/>
          <w:sz w:val="24"/>
          <w:szCs w:val="24"/>
          <w:lang w:eastAsia="ru-RU"/>
        </w:rPr>
        <w:t>146,3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безвозмездных поступления в бюджеты поселений –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210,2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65926" w:rsidRPr="00465926" w:rsidRDefault="002D29B7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гнозируемые поступления 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7,2 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рублей,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3,9 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и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4,2 </w:t>
      </w:r>
      <w:proofErr w:type="spellStart"/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расходной части бюджета.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расходная часть бюд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программных расходов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(без учета межб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юджетных трансфертов) в сумме 54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показате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расходной части бюджета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Прогнозируемые расходы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</w:t>
      </w:r>
      <w:r w:rsidR="004C6F49">
        <w:rPr>
          <w:rFonts w:ascii="Times New Roman" w:eastAsia="Times New Roman" w:hAnsi="Times New Roman" w:cs="Times New Roman"/>
          <w:sz w:val="24"/>
          <w:szCs w:val="24"/>
          <w:lang w:eastAsia="ru-RU"/>
        </w:rPr>
        <w:t>43,4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>38,9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>39,5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«Общегосударственные расходы»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данному раз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ожидаемое исполнение в 2017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>12,4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</w:t>
      </w:r>
      <w:r w:rsidR="00A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показателей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Прогнозируемые ра</w:t>
      </w:r>
      <w:r w:rsidR="00AB0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по данному разделу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 составят соответственно 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>12,07</w:t>
      </w:r>
      <w:r w:rsidR="00A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>11,2</w:t>
      </w:r>
      <w:r w:rsidR="00A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>11,5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безопасность и правоохранительная деятельность» -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разделу</w:t>
      </w:r>
      <w:r w:rsidRPr="00465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финансируются мероприятия по муниципальной программе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"Безопасность в муниципальном образовании Красноборского городского поселения Тосненского района Ленинградской области "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Расходы на реализаци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программы в               2017 году составят 611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ра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по данному разделу на 2018, 2019 и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составят соответственно </w:t>
      </w:r>
      <w:r w:rsidR="0056218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8229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</w:t>
      </w:r>
      <w:r w:rsidR="002D29B7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8229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тыс.рублей и </w:t>
      </w:r>
      <w:r w:rsidR="00562183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8229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рамках программы, в целях повышения уровня пожарной безопасности п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ланируется у</w:t>
      </w: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стройство площадок к пожарным водоёмам.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Ожидаемое исполнение по разделу 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экономика» </w:t>
      </w:r>
      <w:r w:rsidR="00626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82294E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</w:t>
      </w:r>
      <w:r w:rsidR="00822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14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данному разделу будут финансироваться мероприятия муниципальной программы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Развите</w:t>
      </w:r>
      <w:proofErr w:type="spellEnd"/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автомобильных дорог </w:t>
      </w:r>
      <w:proofErr w:type="spellStart"/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Тосненского района Ленинградской области "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местного бюджета на реализацию мероп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программы составят в 2018 году – 3,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в 2019 году – 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="0072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2020 году – 4,5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данной муниципальной программы предусмотрена реализация мероприятий по двум подпрограммам: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Подпрограмма "Поддержание и развитие существующей сети автомобильных дорог общего пользования местного значения".  Подпрограмма нацелена на обеспечение нормативного состояния дорожного покрытия. Задачами программы являются: остановка процесса разрушения дорожного покрытия, приведение дорожного покрытия в удовлетворительное состояние.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Вышеуказанная подпрограмма предусматривает 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поселения;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 Подпрограмма "Обеспечение условий для организации дорожного движения на территории Красноборского городского поселения Тосненского района Ленинградской области" предусматривающая следующие мероприятия по содержанию автомобильных дорог расположенных на территории поселения: 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очистке дорожного полотна от снега   в зимнее  время  (с подсыпкой песчаной   смесью – при обледенении дорожного покрытия);                                                                                -  восстановление профиля  дорог с частичным восстановлением дорожного полотна.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непрограммным расходам по данному разделу относятся мероприятия по землеустро</w:t>
      </w:r>
      <w:r w:rsidR="00DA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йству и землепользованию. В 2017 году они составят </w:t>
      </w:r>
      <w:r w:rsidR="0064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</w:t>
      </w:r>
      <w:proofErr w:type="spellStart"/>
      <w:r w:rsidR="0064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A0BE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A0BE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DA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2018г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150,0 </w:t>
      </w:r>
      <w:proofErr w:type="spellStart"/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9г. г –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100,0 </w:t>
      </w:r>
      <w:proofErr w:type="spellStart"/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DA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г 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соответственно.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«Жилищно-коммунальное хозяйство»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данному разделу бюджета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плановые ассигнования составят (с учето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межбюджетных трансфертов) 16,7 млн. рублей, в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этот показатель составил   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14,7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Прогнозируемые р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по данному разделу на 2018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соответственно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17,4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Ассигнования по данному разделу запланированы на осуществление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двух муниципальных программ: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Муниципальная программа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"Газификация территории Красноборского городского поселения Тосненского района Ленинградской области"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  решить задачи по направленному использованию средств местного бюджета на оказание услуг по обслуживанию газовых сетей; Ассигно</w:t>
      </w:r>
      <w:r w:rsidR="00E7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 данной программе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59A8">
        <w:rPr>
          <w:rFonts w:ascii="Times New Roman" w:eastAsia="Times New Roman" w:hAnsi="Times New Roman" w:cs="Times New Roman"/>
          <w:sz w:val="24"/>
          <w:szCs w:val="24"/>
          <w:lang w:eastAsia="ru-RU"/>
        </w:rPr>
        <w:t>802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</w:t>
      </w:r>
      <w:r w:rsidR="00E759A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 </w:t>
      </w:r>
      <w:proofErr w:type="spellStart"/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E759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–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 </w:t>
      </w:r>
      <w:proofErr w:type="spellStart"/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E759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в настоящей Программе целей предусматривается </w:t>
      </w:r>
    </w:p>
    <w:p w:rsidR="00465926" w:rsidRPr="00465926" w:rsidRDefault="00465926" w:rsidP="00465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улучшить условия около 2000  человек проживающих в  Красноборском городском поселении;</w:t>
      </w:r>
    </w:p>
    <w:p w:rsidR="00465926" w:rsidRPr="00465926" w:rsidRDefault="00465926" w:rsidP="00465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повысить уровень газоснабжения Красноборского городского поселения Тосненского района Ленинградской области  до 68,0 процента.     </w:t>
      </w:r>
    </w:p>
    <w:p w:rsidR="00465926" w:rsidRPr="00465926" w:rsidRDefault="00465926" w:rsidP="004659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обслуживать свыше 16 км надземного и подземного стального газопровода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Муниципальная программа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 Красноборского городского поселения Тосненского района Ленинградской области"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по программе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составят 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11,2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201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12,2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201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10,8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 20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10,8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соответственно.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201</w:t>
      </w:r>
      <w:r w:rsidR="00DB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рамках вышеуказанной муниципальной программы предусмотрены следующие мероприятия: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 уличного освещения с использованием новых технологий (уличное освещение, обслуживание уличного освещения);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сбора, вывоза, утилизации ТБО, ликвидация несанкционированных свалок, покос травы;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Чистка канав; 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Замена водопропускных труб;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и обустройство детских площадок;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пешеходной дорожки к школе;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lastRenderedPageBreak/>
        <w:t>Спил аварийных деревьев;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Замена пешеходной дорожки по </w:t>
      </w:r>
      <w:proofErr w:type="spellStart"/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ул.Комсомольская</w:t>
      </w:r>
      <w:proofErr w:type="spellEnd"/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Реставрация хоккейной коробки;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Установка дорожных знаков;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Покос травы;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Установка площадок под сбор ТБО от МКД.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непрограммным расходам по данному разделу относятся м</w:t>
      </w:r>
      <w:r w:rsidRPr="00465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ероприятия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капитальному ремонту муниципального жилищного фонда, а также мероприятия </w:t>
      </w:r>
      <w:r w:rsidRPr="00465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сфере коммунального хозяйства, направленные для обеспечения условий проживания населения, отвечающих стандартам качества.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«Социально-культурные мероприятия» - 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включает в себя расходы на реализацию мероприятий в соответствии с муниципальной программой по развитию культуры, физической культуры и спорта и молодежной политике.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муниципальной программы "Развитие культуры городского Красноборского городского поселения Тосненского района Ленинградской области" будут реализовываться мероприятия двух подпрограмм: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Подпрограмма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обеспечение деятельности МКУК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Красноборский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досуга и народ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творчества». Расходы в 2017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6,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Прогнозируемые ассигнования на финансирование мероприятий данной подпрограммы составят в 201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 201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5,9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 20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6,2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соответственно.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2017г. начнется строительство Дома культуры в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г.п.Красный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Бор. Здание со зрительным залом на 150 мест, библиотекой, пристроенным спортивным корпусом. Общая площадь проектируемого здания – 14650,0кв.м., ориентировочная стоимость строительства составляет 133331,29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стоимость проектных работ 7052,50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сметная стоимость одного кв.м.39771,89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рамках подпрограммы "Молодежь Красноборского городского поселения Тосненского района Ленинградской области" планируются мероприятия, направленные на организацию отдыха и оздоровления де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подростков. Расходы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составят 1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рублей. Прогнозируемые расходы на финансирование мероприятий по молодежной политике на 201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составят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Ожидаемое исполнение по разделу 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и спорт»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много выше показателей 2016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Прогнозируемые расходы на финансирование мероприятий по и физи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культуре и спорту на 2018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 w:rsidR="005451C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Ассигнования по данному разделу запланированы на осуществление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 подпрограммы "Развитие физической культуры и массового спорта в Красноборском городском поселении Тосненского района Ленинградской области" муниципальной программы "Развитие физической культуры и   спорта на территории Красноборского городского поселения Тосненского района Ленинградской области». </w:t>
      </w:r>
    </w:p>
    <w:p w:rsidR="00465926" w:rsidRPr="00465926" w:rsidRDefault="00465926" w:rsidP="00465926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результате реализации мероприятий подпрограммы планируется достичь  увеличения доли населения,  систематически занимающегося физической культурой и спортом и принимающих участие в культурно-спортивных  мероприятиях по месту жительства.                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основных направлений деятельности для достижения поставленных задач необходимо создание условий: 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максимально возможного увеличения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бюджетообразующих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развити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экономического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потенциала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привлечения инвестиций и размещения новых производств;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и стимулированию режима экономии территориальных энергетических, водных и других ресурсов в жизнедеятельности поселения;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фондов, образуемых предпринимателями и предприятиями для развития и поддержки конкретных направлений.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поставленных задач должен включать принятие конкретных программ по определенным в плане социально-экономического развития приоритетным направлениям с учетом имеющихся финансовых возможностей поселения на основе широкого общественного обсуждения.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58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</w:t>
      </w:r>
      <w:r w:rsidR="0063458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Платонова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63458D">
      <w:pPr>
        <w:tabs>
          <w:tab w:val="left" w:pos="231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E74D8C" w:rsidRPr="0063458D" w:rsidRDefault="0063458D" w:rsidP="0063458D">
      <w:pPr>
        <w:spacing w:after="0" w:line="240" w:lineRule="auto"/>
        <w:rPr>
          <w:sz w:val="18"/>
          <w:szCs w:val="18"/>
        </w:rPr>
      </w:pPr>
      <w:r w:rsidRPr="0063458D">
        <w:rPr>
          <w:sz w:val="18"/>
          <w:szCs w:val="18"/>
        </w:rPr>
        <w:t>Исп. Матвеева И.В.</w:t>
      </w:r>
    </w:p>
    <w:p w:rsidR="0063458D" w:rsidRPr="0063458D" w:rsidRDefault="0063458D" w:rsidP="0063458D">
      <w:pPr>
        <w:spacing w:after="0" w:line="240" w:lineRule="auto"/>
        <w:rPr>
          <w:sz w:val="18"/>
          <w:szCs w:val="18"/>
        </w:rPr>
      </w:pPr>
      <w:r w:rsidRPr="0063458D">
        <w:rPr>
          <w:sz w:val="18"/>
          <w:szCs w:val="18"/>
        </w:rPr>
        <w:t>Тел 62-295</w:t>
      </w:r>
    </w:p>
    <w:p w:rsidR="0063458D" w:rsidRDefault="0063458D" w:rsidP="0063458D">
      <w:pPr>
        <w:spacing w:after="0" w:line="240" w:lineRule="auto"/>
      </w:pPr>
    </w:p>
    <w:sectPr w:rsidR="0063458D" w:rsidSect="003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CAC"/>
    <w:multiLevelType w:val="multilevel"/>
    <w:tmpl w:val="E708D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1C8E2BDC"/>
    <w:multiLevelType w:val="hybridMultilevel"/>
    <w:tmpl w:val="A4C2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DB1"/>
    <w:multiLevelType w:val="hybridMultilevel"/>
    <w:tmpl w:val="BC78D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0F63E7"/>
    <w:multiLevelType w:val="hybridMultilevel"/>
    <w:tmpl w:val="BA82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6"/>
    <w:rsid w:val="00014C97"/>
    <w:rsid w:val="00136CD3"/>
    <w:rsid w:val="00144D37"/>
    <w:rsid w:val="002635AB"/>
    <w:rsid w:val="00294E20"/>
    <w:rsid w:val="002D29B7"/>
    <w:rsid w:val="002D788D"/>
    <w:rsid w:val="003535B6"/>
    <w:rsid w:val="00394FEB"/>
    <w:rsid w:val="003B599A"/>
    <w:rsid w:val="00465926"/>
    <w:rsid w:val="004C6F49"/>
    <w:rsid w:val="005451C6"/>
    <w:rsid w:val="00562183"/>
    <w:rsid w:val="00626C3D"/>
    <w:rsid w:val="0063046C"/>
    <w:rsid w:val="00632400"/>
    <w:rsid w:val="0063458D"/>
    <w:rsid w:val="00647318"/>
    <w:rsid w:val="006673A8"/>
    <w:rsid w:val="006706E4"/>
    <w:rsid w:val="00720714"/>
    <w:rsid w:val="00776C73"/>
    <w:rsid w:val="00777651"/>
    <w:rsid w:val="00780281"/>
    <w:rsid w:val="0080462F"/>
    <w:rsid w:val="0082294E"/>
    <w:rsid w:val="009657C6"/>
    <w:rsid w:val="00A02E15"/>
    <w:rsid w:val="00A2268C"/>
    <w:rsid w:val="00A852F3"/>
    <w:rsid w:val="00AB04DC"/>
    <w:rsid w:val="00C21E96"/>
    <w:rsid w:val="00CB55CA"/>
    <w:rsid w:val="00D0489E"/>
    <w:rsid w:val="00DA0BE4"/>
    <w:rsid w:val="00DA4EA3"/>
    <w:rsid w:val="00DB51EE"/>
    <w:rsid w:val="00DB6742"/>
    <w:rsid w:val="00DF095C"/>
    <w:rsid w:val="00E36C29"/>
    <w:rsid w:val="00E74D8C"/>
    <w:rsid w:val="00E759A8"/>
    <w:rsid w:val="00EE36BB"/>
    <w:rsid w:val="00F64E6B"/>
    <w:rsid w:val="00FF49FE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Бухгалтер</cp:lastModifiedBy>
  <cp:revision>2</cp:revision>
  <cp:lastPrinted>2017-11-13T12:53:00Z</cp:lastPrinted>
  <dcterms:created xsi:type="dcterms:W3CDTF">2017-11-16T07:48:00Z</dcterms:created>
  <dcterms:modified xsi:type="dcterms:W3CDTF">2017-11-16T07:48:00Z</dcterms:modified>
</cp:coreProperties>
</file>